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jc w:val="right"/>
        <w:rPr>
          <w:rFonts w:ascii="仿宋_GB2312" w:hAnsi="仿宋_GB2312" w:eastAsia="仿宋_GB2312" w:cs="仿宋_GB2312"/>
          <w:b w:val="0"/>
          <w:bCs/>
          <w:color w:val="111F2C"/>
          <w:sz w:val="32"/>
          <w:szCs w:val="32"/>
          <w:shd w:val="clear" w:color="auto" w:fill="FFFFFF"/>
        </w:rPr>
      </w:pPr>
      <w:r>
        <w:rPr>
          <w:rFonts w:hint="eastAsia" w:ascii="仿宋_GB2312" w:hAnsi="仿宋_GB2312" w:eastAsia="仿宋_GB2312" w:cs="仿宋_GB2312"/>
          <w:b w:val="0"/>
          <w:bCs/>
          <w:color w:val="111F2C"/>
          <w:sz w:val="32"/>
          <w:szCs w:val="32"/>
          <w:shd w:val="clear" w:color="auto" w:fill="FFFFFF"/>
        </w:rPr>
        <w:t>ZJEC02-2021-0002</w:t>
      </w:r>
    </w:p>
    <w:p>
      <w:pPr>
        <w:pStyle w:val="4"/>
        <w:spacing w:line="440" w:lineRule="exact"/>
        <w:jc w:val="right"/>
        <w:rPr>
          <w:rFonts w:ascii="仿宋_GB2312" w:hAnsi="宋体" w:eastAsia="仿宋_GB2312" w:cs="宋体"/>
          <w:sz w:val="30"/>
          <w:szCs w:val="30"/>
        </w:rPr>
      </w:pPr>
    </w:p>
    <w:p>
      <w:pPr>
        <w:pStyle w:val="4"/>
        <w:spacing w:line="440" w:lineRule="exact"/>
        <w:rPr>
          <w:rFonts w:hAnsi="宋体" w:cs="宋体"/>
        </w:rPr>
      </w:pPr>
    </w:p>
    <w:p>
      <w:pPr>
        <w:pStyle w:val="4"/>
        <w:spacing w:line="440" w:lineRule="exact"/>
        <w:rPr>
          <w:rFonts w:hAnsi="宋体" w:cs="宋体"/>
        </w:rPr>
      </w:pPr>
    </w:p>
    <w:p>
      <w:pPr>
        <w:pStyle w:val="4"/>
        <w:jc w:val="center"/>
        <w:rPr>
          <w:rFonts w:ascii="方正小标宋简体" w:hAnsi="宋体" w:eastAsia="方正小标宋简体" w:cs="宋体"/>
          <w:color w:val="FF0000"/>
          <w:w w:val="80"/>
          <w:sz w:val="84"/>
          <w:szCs w:val="84"/>
        </w:rPr>
      </w:pPr>
      <w:r>
        <w:rPr>
          <w:rFonts w:ascii="方正小标宋简体" w:hAnsi="仿宋" w:eastAsia="方正小标宋简体"/>
          <w:sz w:val="44"/>
          <w:szCs w:val="44"/>
        </w:rPr>
        <w:pict>
          <v:shape id="_x0000_s2050" o:spid="_x0000_s2050" o:spt="136" type="#_x0000_t136" style="position:absolute;left:0pt;margin-left:5.05pt;margin-top:15.1pt;height:42.75pt;width:430.85pt;z-index:251661312;mso-width-relative:page;mso-height-relative:page;" fillcolor="#FF0000" filled="t" stroked="t" coordsize="21600,21600">
            <v:path/>
            <v:fill on="t" focussize="0,0"/>
            <v:stroke weight="2pt" color="#FF0000"/>
            <v:imagedata o:title=""/>
            <o:lock v:ext="edit"/>
            <v:textpath on="t" fitshape="t" fitpath="t" trim="t" xscale="f" string="湖州市公共资源交易管理办公室文件" style="font-family:宋体;font-size:40pt;v-text-align:center;"/>
          </v:shape>
        </w:pict>
      </w:r>
    </w:p>
    <w:p>
      <w:pPr>
        <w:pStyle w:val="4"/>
        <w:spacing w:line="600" w:lineRule="exact"/>
        <w:jc w:val="center"/>
        <w:rPr>
          <w:rFonts w:hAnsi="宋体" w:cs="宋体"/>
          <w:sz w:val="30"/>
          <w:szCs w:val="30"/>
        </w:rPr>
      </w:pPr>
    </w:p>
    <w:p>
      <w:pPr>
        <w:pStyle w:val="4"/>
        <w:pBdr>
          <w:bottom w:val="single" w:color="FF0000" w:sz="18" w:space="1"/>
        </w:pBdr>
        <w:jc w:val="center"/>
        <w:rPr>
          <w:rFonts w:ascii="仿宋_GB2312" w:hAnsi="宋体" w:eastAsia="仿宋_GB2312" w:cs="宋体"/>
          <w:sz w:val="32"/>
          <w:szCs w:val="32"/>
        </w:rPr>
      </w:pPr>
      <w:r>
        <w:rPr>
          <w:rFonts w:hint="eastAsia" w:ascii="仿宋_GB2312" w:hAnsi="宋体" w:eastAsia="仿宋_GB2312" w:cs="宋体"/>
          <w:sz w:val="32"/>
          <w:szCs w:val="32"/>
        </w:rPr>
        <w:t>湖公管办〔2021〕1号</w:t>
      </w:r>
    </w:p>
    <w:p>
      <w:pPr>
        <w:pStyle w:val="4"/>
        <w:spacing w:line="600" w:lineRule="exact"/>
        <w:rPr>
          <w:rFonts w:hAnsi="宋体" w:cs="宋体"/>
          <w:sz w:val="32"/>
          <w:szCs w:val="32"/>
        </w:rPr>
      </w:pPr>
    </w:p>
    <w:p>
      <w:pPr>
        <w:pStyle w:val="4"/>
        <w:spacing w:line="600" w:lineRule="exact"/>
        <w:rPr>
          <w:rFonts w:hAnsi="宋体" w:cs="宋体"/>
          <w:sz w:val="32"/>
          <w:szCs w:val="32"/>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湖州市公共资源交易管理办公室关于印发</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《湖州市工程建设招标代理机构及其</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从业人员信用评价管理办法（试行）》的通知</w:t>
      </w: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各区县公管办，各有关单位：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规范工程建设招标代理机构和从业人员行为，保障招标代理评价工作质量，打造诚信自律服务高效的中介市场，根据有关法律法规和《国务院办公厅关于加快推进社会信用体系建设构建以信用为基础的新型监管机制的指导意见》（国办发〔2019〕35号）</w:t>
      </w:r>
      <w:r>
        <w:rPr>
          <w:rFonts w:hint="eastAsia" w:ascii="仿宋_GB2312" w:hAnsi="仿宋_GB2312" w:eastAsia="仿宋_GB2312" w:cs="仿宋_GB2312"/>
          <w:color w:val="000000"/>
          <w:kern w:val="0"/>
          <w:sz w:val="32"/>
          <w:szCs w:val="32"/>
        </w:rPr>
        <w:t>《住房城乡建</w:t>
      </w:r>
      <w:r>
        <w:rPr>
          <w:rFonts w:hint="eastAsia" w:ascii="仿宋_GB2312" w:hAnsi="仿宋_GB2312" w:eastAsia="仿宋_GB2312" w:cs="仿宋_GB2312"/>
          <w:sz w:val="32"/>
          <w:szCs w:val="32"/>
        </w:rPr>
        <w:t>设部办公厅关于取消工程建设项目招标代理机构资格认定加强事中事后监管的通知》（建办市〔2017〕77号）等文件，结合我市实际，经研究制定《湖州市工程建设招标代理机构及其从业人员信用评价管理办法（试行）》，现予以印发，请遵照执行。</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湖州市公共资源交易管理办公室</w:t>
      </w:r>
    </w:p>
    <w:p>
      <w:pPr>
        <w:spacing w:line="60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2021年2月5日</w:t>
      </w:r>
    </w:p>
    <w:p>
      <w:pPr>
        <w:spacing w:line="600" w:lineRule="exact"/>
        <w:jc w:val="center"/>
        <w:outlineLvl w:val="0"/>
        <w:rPr>
          <w:rFonts w:ascii="方正小标宋简体" w:hAnsi="方正小标宋简体" w:eastAsia="方正小标宋简体" w:cs="方正小标宋简体"/>
          <w:bCs/>
          <w:color w:val="000000"/>
          <w:kern w:val="0"/>
          <w:sz w:val="44"/>
          <w:szCs w:val="44"/>
        </w:rPr>
      </w:pPr>
    </w:p>
    <w:p>
      <w:pPr>
        <w:spacing w:line="600" w:lineRule="exact"/>
        <w:jc w:val="center"/>
        <w:outlineLvl w:val="0"/>
        <w:rPr>
          <w:rFonts w:ascii="方正小标宋简体" w:hAnsi="方正小标宋简体" w:eastAsia="方正小标宋简体" w:cs="方正小标宋简体"/>
          <w:bCs/>
          <w:color w:val="000000"/>
          <w:kern w:val="0"/>
          <w:sz w:val="44"/>
          <w:szCs w:val="44"/>
        </w:rPr>
      </w:pPr>
    </w:p>
    <w:p>
      <w:pPr>
        <w:spacing w:line="600" w:lineRule="exact"/>
        <w:jc w:val="center"/>
        <w:outlineLvl w:val="0"/>
        <w:rPr>
          <w:rFonts w:ascii="方正小标宋简体" w:hAnsi="方正小标宋简体" w:eastAsia="方正小标宋简体" w:cs="方正小标宋简体"/>
          <w:bCs/>
          <w:color w:val="000000"/>
          <w:kern w:val="0"/>
          <w:sz w:val="44"/>
          <w:szCs w:val="44"/>
        </w:rPr>
      </w:pPr>
    </w:p>
    <w:p>
      <w:pPr>
        <w:spacing w:line="600" w:lineRule="exact"/>
        <w:jc w:val="center"/>
        <w:outlineLvl w:val="0"/>
        <w:rPr>
          <w:rFonts w:ascii="方正小标宋简体" w:hAnsi="方正小标宋简体" w:eastAsia="方正小标宋简体" w:cs="方正小标宋简体"/>
          <w:bCs/>
          <w:color w:val="000000"/>
          <w:kern w:val="0"/>
          <w:sz w:val="44"/>
          <w:szCs w:val="44"/>
        </w:rPr>
      </w:pPr>
    </w:p>
    <w:p>
      <w:pPr>
        <w:spacing w:line="600" w:lineRule="exact"/>
        <w:jc w:val="center"/>
        <w:outlineLvl w:val="0"/>
        <w:rPr>
          <w:rFonts w:ascii="方正小标宋简体" w:hAnsi="方正小标宋简体" w:eastAsia="方正小标宋简体" w:cs="方正小标宋简体"/>
          <w:bCs/>
          <w:color w:val="000000"/>
          <w:kern w:val="0"/>
          <w:sz w:val="44"/>
          <w:szCs w:val="44"/>
        </w:rPr>
      </w:pPr>
    </w:p>
    <w:p>
      <w:pPr>
        <w:spacing w:line="600" w:lineRule="exact"/>
        <w:jc w:val="center"/>
        <w:outlineLvl w:val="0"/>
        <w:rPr>
          <w:rFonts w:ascii="方正小标宋简体" w:hAnsi="方正小标宋简体" w:eastAsia="方正小标宋简体" w:cs="方正小标宋简体"/>
          <w:bCs/>
          <w:color w:val="000000"/>
          <w:kern w:val="0"/>
          <w:sz w:val="44"/>
          <w:szCs w:val="44"/>
        </w:rPr>
      </w:pPr>
    </w:p>
    <w:p>
      <w:pPr>
        <w:spacing w:line="600" w:lineRule="exact"/>
        <w:jc w:val="center"/>
        <w:outlineLvl w:val="0"/>
        <w:rPr>
          <w:rFonts w:ascii="方正小标宋简体" w:hAnsi="方正小标宋简体" w:eastAsia="方正小标宋简体" w:cs="方正小标宋简体"/>
          <w:bCs/>
          <w:color w:val="000000"/>
          <w:kern w:val="0"/>
          <w:sz w:val="44"/>
          <w:szCs w:val="44"/>
        </w:rPr>
      </w:pPr>
    </w:p>
    <w:p>
      <w:pPr>
        <w:spacing w:line="600" w:lineRule="exact"/>
        <w:jc w:val="center"/>
        <w:outlineLvl w:val="0"/>
        <w:rPr>
          <w:rFonts w:ascii="方正小标宋简体" w:hAnsi="方正小标宋简体" w:eastAsia="方正小标宋简体" w:cs="方正小标宋简体"/>
          <w:bCs/>
          <w:color w:val="000000"/>
          <w:kern w:val="0"/>
          <w:sz w:val="44"/>
          <w:szCs w:val="44"/>
        </w:rPr>
      </w:pPr>
    </w:p>
    <w:p>
      <w:pPr>
        <w:spacing w:line="600" w:lineRule="exact"/>
        <w:jc w:val="center"/>
        <w:outlineLvl w:val="0"/>
        <w:rPr>
          <w:rFonts w:ascii="方正小标宋简体" w:hAnsi="方正小标宋简体" w:eastAsia="方正小标宋简体" w:cs="方正小标宋简体"/>
          <w:bCs/>
          <w:color w:val="000000"/>
          <w:kern w:val="0"/>
          <w:sz w:val="44"/>
          <w:szCs w:val="44"/>
        </w:rPr>
      </w:pPr>
    </w:p>
    <w:p>
      <w:pPr>
        <w:spacing w:line="600" w:lineRule="exact"/>
        <w:jc w:val="center"/>
        <w:outlineLvl w:val="0"/>
        <w:rPr>
          <w:rFonts w:ascii="方正小标宋简体" w:hAnsi="方正小标宋简体" w:eastAsia="方正小标宋简体" w:cs="方正小标宋简体"/>
          <w:bCs/>
          <w:color w:val="000000"/>
          <w:kern w:val="0"/>
          <w:sz w:val="44"/>
          <w:szCs w:val="44"/>
        </w:rPr>
      </w:pPr>
    </w:p>
    <w:p>
      <w:pPr>
        <w:spacing w:line="600" w:lineRule="exact"/>
        <w:jc w:val="center"/>
        <w:outlineLvl w:val="0"/>
        <w:rPr>
          <w:rFonts w:ascii="方正小标宋简体" w:hAnsi="方正小标宋简体" w:eastAsia="方正小标宋简体" w:cs="方正小标宋简体"/>
          <w:bCs/>
          <w:color w:val="000000"/>
          <w:kern w:val="0"/>
          <w:sz w:val="44"/>
          <w:szCs w:val="44"/>
        </w:rPr>
      </w:pPr>
    </w:p>
    <w:p>
      <w:pPr>
        <w:spacing w:line="600" w:lineRule="exact"/>
        <w:jc w:val="center"/>
        <w:outlineLvl w:val="0"/>
        <w:rPr>
          <w:rFonts w:ascii="方正小标宋简体" w:hAnsi="方正小标宋简体" w:eastAsia="方正小标宋简体" w:cs="方正小标宋简体"/>
          <w:bCs/>
          <w:color w:val="000000"/>
          <w:kern w:val="0"/>
          <w:sz w:val="44"/>
          <w:szCs w:val="44"/>
        </w:rPr>
      </w:pPr>
    </w:p>
    <w:p>
      <w:pPr>
        <w:spacing w:line="600" w:lineRule="exact"/>
        <w:jc w:val="center"/>
        <w:outlineLvl w:val="0"/>
        <w:rPr>
          <w:rFonts w:ascii="方正小标宋简体" w:hAnsi="方正小标宋简体" w:eastAsia="方正小标宋简体" w:cs="方正小标宋简体"/>
          <w:bCs/>
          <w:color w:val="000000"/>
          <w:kern w:val="0"/>
          <w:sz w:val="44"/>
          <w:szCs w:val="44"/>
        </w:rPr>
      </w:pPr>
    </w:p>
    <w:p>
      <w:pPr>
        <w:spacing w:line="600" w:lineRule="exact"/>
        <w:jc w:val="center"/>
        <w:outlineLvl w:val="0"/>
        <w:rPr>
          <w:rFonts w:ascii="方正小标宋简体" w:hAnsi="方正小标宋简体" w:eastAsia="方正小标宋简体" w:cs="方正小标宋简体"/>
          <w:bCs/>
          <w:color w:val="000000"/>
          <w:kern w:val="0"/>
          <w:sz w:val="44"/>
          <w:szCs w:val="44"/>
        </w:rPr>
      </w:pPr>
    </w:p>
    <w:p>
      <w:pPr>
        <w:spacing w:line="600" w:lineRule="exact"/>
        <w:jc w:val="center"/>
        <w:outlineLvl w:val="0"/>
        <w:rPr>
          <w:rFonts w:ascii="方正小标宋简体" w:hAnsi="方正小标宋简体" w:eastAsia="方正小标宋简体" w:cs="方正小标宋简体"/>
          <w:bCs/>
          <w:color w:val="000000"/>
          <w:kern w:val="0"/>
          <w:sz w:val="44"/>
          <w:szCs w:val="44"/>
        </w:rPr>
      </w:pPr>
    </w:p>
    <w:p>
      <w:pPr>
        <w:spacing w:line="600" w:lineRule="exact"/>
        <w:jc w:val="center"/>
        <w:outlineLvl w:val="0"/>
        <w:rPr>
          <w:rFonts w:ascii="方正小标宋简体" w:hAnsi="方正小标宋简体" w:eastAsia="方正小标宋简体" w:cs="方正小标宋简体"/>
          <w:bCs/>
          <w:color w:val="000000"/>
          <w:kern w:val="0"/>
          <w:sz w:val="44"/>
          <w:szCs w:val="44"/>
        </w:rPr>
      </w:pPr>
    </w:p>
    <w:p>
      <w:pPr>
        <w:spacing w:line="600" w:lineRule="exact"/>
        <w:jc w:val="center"/>
        <w:outlineLvl w:val="0"/>
        <w:rPr>
          <w:rFonts w:ascii="方正小标宋简体" w:hAnsi="方正小标宋简体" w:eastAsia="方正小标宋简体" w:cs="方正小标宋简体"/>
          <w:bCs/>
          <w:color w:val="000000"/>
          <w:kern w:val="0"/>
          <w:sz w:val="44"/>
          <w:szCs w:val="44"/>
        </w:rPr>
      </w:pPr>
    </w:p>
    <w:p>
      <w:pPr>
        <w:spacing w:line="600" w:lineRule="exact"/>
        <w:jc w:val="center"/>
        <w:outlineLvl w:val="0"/>
        <w:rPr>
          <w:rFonts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湖州市工程建设招标代理机构及其从业人员</w:t>
      </w:r>
    </w:p>
    <w:p>
      <w:pPr>
        <w:spacing w:line="600" w:lineRule="exact"/>
        <w:jc w:val="center"/>
        <w:outlineLvl w:val="0"/>
        <w:rPr>
          <w:rFonts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信用评价管理办法（试行）</w:t>
      </w:r>
    </w:p>
    <w:p>
      <w:pPr>
        <w:spacing w:line="600" w:lineRule="exact"/>
        <w:jc w:val="center"/>
        <w:outlineLvl w:val="0"/>
        <w:rPr>
          <w:rFonts w:ascii="黑体" w:hAnsi="黑体" w:eastAsia="黑体" w:cs="黑体"/>
          <w:bCs/>
          <w:color w:val="000000"/>
          <w:kern w:val="0"/>
          <w:sz w:val="32"/>
          <w:szCs w:val="32"/>
        </w:rPr>
      </w:pPr>
    </w:p>
    <w:p>
      <w:pPr>
        <w:spacing w:line="600" w:lineRule="exact"/>
        <w:jc w:val="center"/>
        <w:outlineLvl w:val="0"/>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第一章 总则</w:t>
      </w:r>
    </w:p>
    <w:p>
      <w:pPr>
        <w:spacing w:line="600" w:lineRule="exact"/>
        <w:ind w:firstLine="643" w:firstLineChars="200"/>
        <w:rPr>
          <w:rFonts w:ascii="仿宋_GB2312" w:hAnsi="仿宋_GB2312" w:eastAsia="仿宋_GB2312" w:cs="仿宋_GB2312"/>
          <w:color w:val="000000"/>
          <w:kern w:val="0"/>
          <w:sz w:val="32"/>
          <w:szCs w:val="32"/>
        </w:rPr>
      </w:pPr>
      <w:r>
        <w:rPr>
          <w:rFonts w:hint="eastAsia" w:ascii="楷体_GB2312" w:hAnsi="楷体_GB2312" w:eastAsia="楷体_GB2312" w:cs="楷体_GB2312"/>
          <w:b/>
          <w:bCs/>
          <w:color w:val="000000"/>
          <w:kern w:val="0"/>
          <w:sz w:val="32"/>
          <w:szCs w:val="32"/>
        </w:rPr>
        <w:t>第一条</w:t>
      </w:r>
      <w:r>
        <w:rPr>
          <w:rFonts w:hint="eastAsia" w:ascii="仿宋_GB2312" w:hAnsi="仿宋_GB2312" w:eastAsia="仿宋_GB2312" w:cs="仿宋_GB2312"/>
          <w:color w:val="000000"/>
          <w:kern w:val="0"/>
          <w:sz w:val="32"/>
          <w:szCs w:val="32"/>
        </w:rPr>
        <w:t xml:space="preserve"> 为贯彻落实国务院、省、市人民政府关于社会信用体系建设的工作部署，加强我市公共资源交易信用评价工作，推进行业信用体系建设，规范工程建设招标代理机构从业行为，根据《中华人民共和国招标投标法》《国务院办公厅关于加快推进社会信用体系建设构建以信用为基础的新型监管机制的指导意见》《住房城乡建</w:t>
      </w:r>
      <w:r>
        <w:rPr>
          <w:rFonts w:hint="eastAsia" w:ascii="仿宋_GB2312" w:hAnsi="仿宋_GB2312" w:eastAsia="仿宋_GB2312" w:cs="仿宋_GB2312"/>
          <w:sz w:val="32"/>
          <w:szCs w:val="32"/>
        </w:rPr>
        <w:t>设部办公厅关于取消工程建设项目招标代理机构资格认定加强事中事后监管的通知》</w:t>
      </w:r>
      <w:r>
        <w:rPr>
          <w:rFonts w:hint="eastAsia" w:ascii="仿宋_GB2312" w:hAnsi="仿宋_GB2312" w:eastAsia="仿宋_GB2312" w:cs="仿宋_GB2312"/>
          <w:color w:val="000000"/>
          <w:kern w:val="0"/>
          <w:sz w:val="32"/>
          <w:szCs w:val="32"/>
        </w:rPr>
        <w:t>等</w:t>
      </w:r>
      <w:r>
        <w:rPr>
          <w:rFonts w:hint="eastAsia" w:ascii="仿宋_GB2312" w:hAnsi="仿宋_GB2312" w:eastAsia="仿宋_GB2312" w:cs="仿宋_GB2312"/>
          <w:sz w:val="32"/>
          <w:szCs w:val="32"/>
        </w:rPr>
        <w:t>文件精神</w:t>
      </w:r>
      <w:r>
        <w:rPr>
          <w:rFonts w:hint="eastAsia" w:ascii="仿宋_GB2312" w:hAnsi="仿宋_GB2312" w:eastAsia="仿宋_GB2312" w:cs="仿宋_GB2312"/>
          <w:color w:val="000000"/>
          <w:kern w:val="0"/>
          <w:sz w:val="32"/>
          <w:szCs w:val="32"/>
        </w:rPr>
        <w:t>，结合本市实际，制定本办法。</w:t>
      </w:r>
    </w:p>
    <w:p>
      <w:pPr>
        <w:spacing w:line="600" w:lineRule="exact"/>
        <w:ind w:firstLine="643"/>
        <w:rPr>
          <w:rFonts w:ascii="仿宋_GB2312" w:hAnsi="仿宋_GB2312" w:eastAsia="仿宋_GB2312" w:cs="仿宋_GB2312"/>
          <w:sz w:val="32"/>
          <w:szCs w:val="32"/>
        </w:rPr>
      </w:pPr>
      <w:r>
        <w:rPr>
          <w:rFonts w:hint="eastAsia" w:ascii="楷体_GB2312" w:hAnsi="楷体_GB2312" w:eastAsia="楷体_GB2312" w:cs="楷体_GB2312"/>
          <w:b/>
          <w:bCs/>
          <w:sz w:val="32"/>
          <w:szCs w:val="32"/>
        </w:rPr>
        <w:t>第二条</w:t>
      </w:r>
      <w:r>
        <w:rPr>
          <w:rFonts w:hint="eastAsia" w:ascii="仿宋_GB2312" w:hAnsi="仿宋_GB2312" w:eastAsia="仿宋_GB2312" w:cs="仿宋_GB2312"/>
          <w:sz w:val="32"/>
          <w:szCs w:val="32"/>
        </w:rPr>
        <w:t>本办法适用于进入湖州市各级公共资源交易平台，开展工程建设招标代理业务的机构及其从业人员的信用评价管理。</w:t>
      </w:r>
    </w:p>
    <w:p>
      <w:pPr>
        <w:spacing w:line="600" w:lineRule="exact"/>
        <w:ind w:firstLine="643"/>
        <w:rPr>
          <w:rFonts w:ascii="仿宋_GB2312" w:hAnsi="仿宋_GB2312" w:eastAsia="仿宋_GB2312" w:cs="仿宋_GB2312"/>
          <w:sz w:val="32"/>
          <w:szCs w:val="32"/>
        </w:rPr>
      </w:pPr>
      <w:r>
        <w:rPr>
          <w:rFonts w:hint="eastAsia" w:ascii="楷体_GB2312" w:hAnsi="楷体_GB2312" w:eastAsia="楷体_GB2312" w:cs="楷体_GB2312"/>
          <w:b/>
          <w:bCs/>
          <w:sz w:val="32"/>
          <w:szCs w:val="32"/>
        </w:rPr>
        <w:t>第三条</w:t>
      </w:r>
      <w:r>
        <w:rPr>
          <w:rFonts w:hint="eastAsia" w:ascii="仿宋_GB2312" w:hAnsi="仿宋_GB2312" w:eastAsia="仿宋_GB2312" w:cs="仿宋_GB2312"/>
          <w:sz w:val="32"/>
          <w:szCs w:val="32"/>
        </w:rPr>
        <w:t xml:space="preserve">本办法所称的信用评价，是指评价实施单位遵照相关法律、法规，按照本办法规定的程序和方法，对招标代理机构及其从业人员的信用信息进行记录、评价、公示等活动。 </w:t>
      </w:r>
    </w:p>
    <w:p>
      <w:pPr>
        <w:spacing w:line="600" w:lineRule="exact"/>
        <w:ind w:firstLine="643"/>
        <w:rPr>
          <w:rFonts w:ascii="仿宋_GB2312" w:hAnsi="仿宋_GB2312" w:eastAsia="仿宋_GB2312" w:cs="仿宋_GB2312"/>
          <w:sz w:val="32"/>
          <w:szCs w:val="32"/>
        </w:rPr>
      </w:pPr>
      <w:r>
        <w:rPr>
          <w:rFonts w:hint="eastAsia" w:ascii="仿宋_GB2312" w:hAnsi="仿宋_GB2312" w:eastAsia="仿宋_GB2312" w:cs="仿宋_GB2312"/>
          <w:sz w:val="32"/>
          <w:szCs w:val="32"/>
        </w:rPr>
        <w:t>本办法所称工程建设招标代理机构，是指依法设立、具有独立承担民事责任能力、在本市进场从事工程建设招标代理业务并提供相关服务的社会中介组织（以下简称“招标代理机构”）。</w:t>
      </w:r>
    </w:p>
    <w:p>
      <w:pPr>
        <w:spacing w:line="600" w:lineRule="exact"/>
        <w:ind w:firstLine="643"/>
        <w:rPr>
          <w:rFonts w:ascii="仿宋_GB2312" w:hAnsi="仿宋_GB2312" w:eastAsia="仿宋_GB2312" w:cs="仿宋_GB2312"/>
          <w:sz w:val="32"/>
          <w:szCs w:val="32"/>
        </w:rPr>
      </w:pPr>
      <w:r>
        <w:rPr>
          <w:rFonts w:hint="eastAsia" w:ascii="仿宋_GB2312" w:hAnsi="仿宋_GB2312" w:eastAsia="仿宋_GB2312" w:cs="仿宋_GB2312"/>
          <w:sz w:val="32"/>
          <w:szCs w:val="32"/>
        </w:rPr>
        <w:t>本办法所称从业人员，是指招标代理机构参与我市工程建设代理业务的项目负责人及辅助人员。</w:t>
      </w:r>
    </w:p>
    <w:p>
      <w:pPr>
        <w:spacing w:line="600" w:lineRule="exact"/>
        <w:ind w:firstLine="643"/>
        <w:rPr>
          <w:rFonts w:ascii="仿宋_GB2312" w:hAnsi="仿宋_GB2312" w:eastAsia="仿宋_GB2312" w:cs="仿宋_GB2312"/>
          <w:sz w:val="32"/>
          <w:szCs w:val="32"/>
        </w:rPr>
      </w:pPr>
      <w:r>
        <w:rPr>
          <w:rFonts w:hint="eastAsia" w:ascii="仿宋_GB2312" w:hAnsi="仿宋_GB2312" w:eastAsia="仿宋_GB2312" w:cs="仿宋_GB2312"/>
          <w:sz w:val="32"/>
          <w:szCs w:val="32"/>
        </w:rPr>
        <w:t>本办法所称评价实施单位，是指参与信用评价的各级公共资源交易管理机构、委托代理项目业主等评价机构。</w:t>
      </w:r>
    </w:p>
    <w:p>
      <w:pPr>
        <w:spacing w:line="600" w:lineRule="exact"/>
        <w:ind w:firstLine="643"/>
        <w:rPr>
          <w:rFonts w:ascii="仿宋_GB2312" w:hAnsi="仿宋_GB2312" w:eastAsia="仿宋_GB2312" w:cs="仿宋_GB2312"/>
          <w:color w:val="C00000"/>
          <w:sz w:val="32"/>
          <w:szCs w:val="32"/>
        </w:rPr>
      </w:pPr>
      <w:r>
        <w:rPr>
          <w:rFonts w:hint="eastAsia" w:ascii="楷体_GB2312" w:hAnsi="楷体_GB2312" w:eastAsia="楷体_GB2312" w:cs="楷体_GB2312"/>
          <w:b/>
          <w:bCs/>
          <w:sz w:val="32"/>
          <w:szCs w:val="32"/>
        </w:rPr>
        <w:t>第四条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C00000"/>
          <w:sz w:val="32"/>
          <w:szCs w:val="32"/>
        </w:rPr>
        <w:t>湖州市公共资源交易管理办公室（以下简称“市公管办”）负责全市进场开展招标代理业务活动的招标代理机构日常监督、考核及信用评价管理。</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湖州市公共资源交易服务平台中的代理机构库和从业人员库信息由招标代理机构自行维护，实行动态管理。</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招标代理机构对公开信用信息的真实性、准确性、及时性负责。信用信息内容发生变更的，应当在信息变更之日起</w:t>
      </w:r>
      <w:r>
        <w:rPr>
          <w:rFonts w:ascii="仿宋_GB2312" w:hAnsi="仿宋_GB2312" w:eastAsia="仿宋_GB2312" w:cs="仿宋_GB2312"/>
          <w:sz w:val="32"/>
          <w:szCs w:val="32"/>
        </w:rPr>
        <w:t>7日内自行更新。</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color w:val="C00000"/>
          <w:sz w:val="32"/>
          <w:szCs w:val="32"/>
        </w:rPr>
        <w:t>各区县公共资源交易管理办公室依据职责负责本行政区域内进场招标活动中招标代理机构的日常监督、考核及信用评价管理，并定期汇总报送招标代理机构及其从业人员信用信息、评价结果信息。</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第五条</w:t>
      </w:r>
      <w:r>
        <w:rPr>
          <w:rFonts w:hint="eastAsia" w:ascii="仿宋_GB2312" w:hAnsi="仿宋_GB2312" w:eastAsia="仿宋_GB2312" w:cs="仿宋_GB2312"/>
          <w:sz w:val="32"/>
          <w:szCs w:val="32"/>
        </w:rPr>
        <w:t>信用评价应当坚持公开、公平、公正的原则，严格遵照本办法和相关管理规定实施评价，定期公布评价结果。</w:t>
      </w:r>
    </w:p>
    <w:p>
      <w:pPr>
        <w:spacing w:line="600" w:lineRule="exact"/>
        <w:ind w:firstLine="640"/>
        <w:rPr>
          <w:rFonts w:ascii="仿宋_GB2312" w:hAnsi="仿宋_GB2312" w:eastAsia="仿宋_GB2312" w:cs="仿宋_GB2312"/>
          <w:sz w:val="32"/>
          <w:szCs w:val="32"/>
        </w:rPr>
      </w:pPr>
      <w:r>
        <w:rPr>
          <w:rFonts w:hint="eastAsia" w:ascii="楷体_GB2312" w:hAnsi="楷体_GB2312" w:eastAsia="楷体_GB2312" w:cs="楷体_GB2312"/>
          <w:b/>
          <w:bCs/>
          <w:sz w:val="32"/>
          <w:szCs w:val="32"/>
        </w:rPr>
        <w:t>第六条</w:t>
      </w:r>
      <w:r>
        <w:rPr>
          <w:rFonts w:hint="eastAsia" w:ascii="仿宋_GB2312" w:hAnsi="仿宋_GB2312" w:eastAsia="仿宋_GB2312" w:cs="仿宋_GB2312"/>
          <w:sz w:val="32"/>
          <w:szCs w:val="32"/>
        </w:rPr>
        <w:t>招标代理项目实行项目负责人制。招标代理机构项目负责人应具备招标相关的工程技术、工程管理等方面专业能力，具有中级及以上专业技术职称或者工程类国家注册类证书，全市范围内同一项目负责人同时进场承接依法必须招标代理项目最多不超过5个，每个项目组成员（含项目负责人）不得少于2人。</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同一项目负责人同时进场承接时间以电子招标系统备案日为起始时间，以</w:t>
      </w:r>
      <w:r>
        <w:rPr>
          <w:rFonts w:ascii="仿宋_GB2312" w:hAnsi="仿宋_GB2312" w:eastAsia="仿宋_GB2312" w:cs="仿宋_GB2312"/>
          <w:sz w:val="32"/>
          <w:szCs w:val="32"/>
        </w:rPr>
        <w:t>该项目</w:t>
      </w:r>
      <w:r>
        <w:rPr>
          <w:rFonts w:hint="eastAsia" w:ascii="仿宋_GB2312" w:hAnsi="仿宋_GB2312" w:eastAsia="仿宋_GB2312" w:cs="仿宋_GB2312"/>
          <w:sz w:val="32"/>
          <w:szCs w:val="32"/>
        </w:rPr>
        <w:t>投标保证金退还日为结束时间。</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第七条</w:t>
      </w:r>
      <w:r>
        <w:rPr>
          <w:rFonts w:hint="eastAsia" w:ascii="仿宋_GB2312" w:hAnsi="仿宋_GB2312" w:eastAsia="仿宋_GB2312" w:cs="仿宋_GB2312"/>
          <w:sz w:val="32"/>
          <w:szCs w:val="32"/>
        </w:rPr>
        <w:t>招标代理活动实行“一项目一合同”，招标代理机构应当与招标人依法签订招标代理书面委托合同，明确项目组成员，并在合同约定的范围内依法开展招标代理活动。</w:t>
      </w:r>
    </w:p>
    <w:p>
      <w:pPr>
        <w:spacing w:line="600" w:lineRule="exact"/>
        <w:rPr>
          <w:rFonts w:ascii="仿宋_GB2312" w:hAnsi="仿宋_GB2312" w:eastAsia="仿宋_GB2312" w:cs="仿宋_GB2312"/>
          <w:sz w:val="32"/>
          <w:szCs w:val="32"/>
        </w:rPr>
      </w:pPr>
    </w:p>
    <w:p>
      <w:pPr>
        <w:spacing w:line="600" w:lineRule="exact"/>
        <w:jc w:val="center"/>
        <w:outlineLvl w:val="0"/>
        <w:rPr>
          <w:rFonts w:ascii="黑体" w:hAnsi="黑体" w:eastAsia="黑体" w:cs="黑体"/>
          <w:bCs/>
          <w:sz w:val="32"/>
          <w:szCs w:val="32"/>
        </w:rPr>
      </w:pPr>
      <w:r>
        <w:rPr>
          <w:rFonts w:hint="eastAsia" w:ascii="黑体" w:hAnsi="黑体" w:eastAsia="黑体" w:cs="黑体"/>
          <w:bCs/>
          <w:sz w:val="32"/>
          <w:szCs w:val="32"/>
        </w:rPr>
        <w:t>第二章 评价标准和等级</w:t>
      </w:r>
    </w:p>
    <w:p>
      <w:pPr>
        <w:snapToGrid w:val="0"/>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第八条</w:t>
      </w:r>
      <w:r>
        <w:rPr>
          <w:rFonts w:hint="eastAsia" w:ascii="仿宋_GB2312" w:hAnsi="仿宋_GB2312" w:eastAsia="仿宋_GB2312" w:cs="仿宋_GB2312"/>
          <w:sz w:val="32"/>
          <w:szCs w:val="32"/>
        </w:rPr>
        <w:t>招标代理机构及其从业人员信用评价由企业</w:t>
      </w:r>
      <w:r>
        <w:rPr>
          <w:rFonts w:hint="eastAsia" w:ascii="仿宋_GB2312" w:hAnsi="仿宋_GB2312" w:eastAsia="仿宋_GB2312" w:cs="仿宋_GB2312"/>
          <w:color w:val="C00000"/>
          <w:sz w:val="32"/>
          <w:szCs w:val="32"/>
        </w:rPr>
        <w:t>公共信用评价、日常考核、良好行为</w:t>
      </w:r>
      <w:r>
        <w:rPr>
          <w:rFonts w:hint="eastAsia" w:ascii="仿宋_GB2312" w:hAnsi="仿宋_GB2312" w:eastAsia="仿宋_GB2312" w:cs="仿宋_GB2312"/>
          <w:sz w:val="32"/>
          <w:szCs w:val="32"/>
        </w:rPr>
        <w:t>三部分组成，具体评价内容、评价标准和判定依据详见附件1、附件2。</w:t>
      </w:r>
    </w:p>
    <w:p>
      <w:pPr>
        <w:snapToGrid w:val="0"/>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第九条</w:t>
      </w:r>
      <w:r>
        <w:rPr>
          <w:rFonts w:hint="eastAsia" w:ascii="仿宋_GB2312" w:hAnsi="仿宋_GB2312" w:eastAsia="仿宋_GB2312" w:cs="仿宋_GB2312"/>
          <w:sz w:val="32"/>
          <w:szCs w:val="32"/>
        </w:rPr>
        <w:t>招标代理机构及其从业人员信用评价实行评分制，信用等级按评分分值区间确定，实行动态评价、动态管理。</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第十条</w:t>
      </w:r>
      <w:r>
        <w:rPr>
          <w:rFonts w:hint="eastAsia" w:ascii="仿宋_GB2312" w:hAnsi="仿宋_GB2312" w:eastAsia="仿宋_GB2312" w:cs="仿宋_GB2312"/>
          <w:sz w:val="32"/>
          <w:szCs w:val="32"/>
        </w:rPr>
        <w:t>招标代理机构及其从业人员信用等级分为</w:t>
      </w:r>
      <w:r>
        <w:rPr>
          <w:rFonts w:hint="eastAsia" w:ascii="仿宋_GB2312" w:hAnsi="仿宋_GB2312" w:eastAsia="仿宋_GB2312" w:cs="仿宋_GB2312"/>
          <w:color w:val="C00000"/>
          <w:sz w:val="32"/>
          <w:szCs w:val="32"/>
        </w:rPr>
        <w:t>五档，即A、B、C、D、E档分别对应优秀、良好、中等、较差、差</w:t>
      </w:r>
      <w:r>
        <w:rPr>
          <w:rFonts w:hint="eastAsia" w:ascii="仿宋_GB2312" w:hAnsi="仿宋_GB2312" w:eastAsia="仿宋_GB2312" w:cs="仿宋_GB2312"/>
          <w:sz w:val="32"/>
          <w:szCs w:val="32"/>
        </w:rPr>
        <w:t>。信用等级与信用评价得分对应关系如下：</w:t>
      </w:r>
    </w:p>
    <w:tbl>
      <w:tblPr>
        <w:tblStyle w:val="10"/>
        <w:tblW w:w="81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1701"/>
        <w:gridCol w:w="1843"/>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4" w:type="dxa"/>
            <w:noWrap/>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1701" w:type="dxa"/>
            <w:noWrap/>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信用等级</w:t>
            </w:r>
          </w:p>
        </w:tc>
        <w:tc>
          <w:tcPr>
            <w:tcW w:w="1843" w:type="dxa"/>
            <w:noWrap/>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评价得分</w:t>
            </w:r>
          </w:p>
        </w:tc>
        <w:tc>
          <w:tcPr>
            <w:tcW w:w="3685" w:type="dxa"/>
            <w:noWrap/>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4" w:type="dxa"/>
            <w:noWrap/>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701" w:type="dxa"/>
            <w:noWrap/>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A</w:t>
            </w:r>
          </w:p>
        </w:tc>
        <w:tc>
          <w:tcPr>
            <w:tcW w:w="1843" w:type="dxa"/>
            <w:noWrap/>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≥850</w:t>
            </w:r>
          </w:p>
        </w:tc>
        <w:tc>
          <w:tcPr>
            <w:tcW w:w="3685" w:type="dxa"/>
            <w:noWrap/>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4" w:type="dxa"/>
            <w:noWrap/>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701" w:type="dxa"/>
            <w:noWrap/>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B</w:t>
            </w:r>
          </w:p>
        </w:tc>
        <w:tc>
          <w:tcPr>
            <w:tcW w:w="1843" w:type="dxa"/>
            <w:noWrap/>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849—800</w:t>
            </w:r>
          </w:p>
        </w:tc>
        <w:tc>
          <w:tcPr>
            <w:tcW w:w="3685" w:type="dxa"/>
            <w:noWrap/>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4" w:type="dxa"/>
            <w:noWrap/>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1701" w:type="dxa"/>
            <w:noWrap/>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C</w:t>
            </w:r>
          </w:p>
        </w:tc>
        <w:tc>
          <w:tcPr>
            <w:tcW w:w="1843" w:type="dxa"/>
            <w:noWrap/>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799-750</w:t>
            </w:r>
          </w:p>
        </w:tc>
        <w:tc>
          <w:tcPr>
            <w:tcW w:w="3685" w:type="dxa"/>
            <w:noWrap/>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4" w:type="dxa"/>
            <w:noWrap/>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1701" w:type="dxa"/>
            <w:noWrap/>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D</w:t>
            </w:r>
          </w:p>
        </w:tc>
        <w:tc>
          <w:tcPr>
            <w:tcW w:w="1843" w:type="dxa"/>
            <w:noWrap/>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749-700</w:t>
            </w:r>
          </w:p>
        </w:tc>
        <w:tc>
          <w:tcPr>
            <w:tcW w:w="3685" w:type="dxa"/>
            <w:noWrap/>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4" w:type="dxa"/>
            <w:noWrap/>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1701" w:type="dxa"/>
            <w:noWrap/>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E</w:t>
            </w:r>
          </w:p>
        </w:tc>
        <w:tc>
          <w:tcPr>
            <w:tcW w:w="1843" w:type="dxa"/>
            <w:noWrap/>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≤699</w:t>
            </w:r>
          </w:p>
        </w:tc>
        <w:tc>
          <w:tcPr>
            <w:tcW w:w="3685" w:type="dxa"/>
            <w:noWrap/>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差</w:t>
            </w:r>
          </w:p>
        </w:tc>
      </w:tr>
    </w:tbl>
    <w:p>
      <w:pPr>
        <w:adjustRightInd w:val="0"/>
        <w:snapToGrid w:val="0"/>
        <w:spacing w:line="600" w:lineRule="exact"/>
        <w:ind w:firstLine="643" w:firstLineChars="200"/>
      </w:pPr>
      <w:r>
        <w:rPr>
          <w:rFonts w:hint="eastAsia" w:ascii="楷体_GB2312" w:hAnsi="楷体_GB2312" w:eastAsia="楷体_GB2312" w:cs="楷体_GB2312"/>
          <w:b/>
          <w:sz w:val="32"/>
          <w:szCs w:val="32"/>
        </w:rPr>
        <w:t>第十一条</w:t>
      </w:r>
      <w:r>
        <w:rPr>
          <w:rFonts w:hint="eastAsia" w:ascii="仿宋_GB2312" w:hAnsi="仿宋_GB2312" w:eastAsia="仿宋_GB2312" w:cs="仿宋_GB2312"/>
          <w:sz w:val="32"/>
          <w:szCs w:val="32"/>
        </w:rPr>
        <w:t>信用评价由市公管办在每季度的首月10日，根据招标代理机构上季度参与招标代理业务评价结果进行量化汇总，并公示发布。次年首月根据招标代理机构上年度评价结果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按每季评价结果的</w:t>
      </w:r>
      <w:r>
        <w:rPr>
          <w:rFonts w:ascii="仿宋_GB2312" w:hAnsi="仿宋_GB2312" w:eastAsia="仿宋_GB2312" w:cs="仿宋_GB2312"/>
          <w:sz w:val="32"/>
          <w:szCs w:val="32"/>
        </w:rPr>
        <w:t>25%</w:t>
      </w:r>
      <w:r>
        <w:rPr>
          <w:rFonts w:hint="eastAsia" w:ascii="仿宋_GB2312" w:hAnsi="仿宋_GB2312" w:eastAsia="仿宋_GB2312" w:cs="仿宋_GB2312"/>
          <w:sz w:val="32"/>
          <w:szCs w:val="32"/>
        </w:rPr>
        <w:t>计算）进行汇总排名，并向社会公开。</w:t>
      </w:r>
    </w:p>
    <w:p>
      <w:pPr>
        <w:snapToGrid w:val="0"/>
        <w:spacing w:line="600" w:lineRule="exact"/>
        <w:ind w:firstLine="640" w:firstLineChars="200"/>
        <w:rPr>
          <w:rFonts w:ascii="仿宋_GB2312" w:hAnsi="仿宋_GB2312" w:eastAsia="仿宋_GB2312" w:cs="仿宋_GB2312"/>
          <w:sz w:val="32"/>
          <w:szCs w:val="32"/>
        </w:rPr>
      </w:pPr>
    </w:p>
    <w:p>
      <w:pPr>
        <w:snapToGrid w:val="0"/>
        <w:spacing w:line="600" w:lineRule="exact"/>
        <w:jc w:val="center"/>
        <w:outlineLvl w:val="0"/>
        <w:rPr>
          <w:rFonts w:ascii="黑体" w:hAnsi="黑体" w:eastAsia="黑体" w:cs="黑体"/>
          <w:bCs/>
          <w:sz w:val="32"/>
          <w:szCs w:val="32"/>
        </w:rPr>
      </w:pPr>
      <w:r>
        <w:rPr>
          <w:rFonts w:hint="eastAsia" w:ascii="黑体" w:hAnsi="黑体" w:eastAsia="黑体" w:cs="黑体"/>
          <w:bCs/>
          <w:sz w:val="32"/>
          <w:szCs w:val="32"/>
        </w:rPr>
        <w:t>第三章 信用评价程序</w:t>
      </w:r>
    </w:p>
    <w:p>
      <w:pPr>
        <w:spacing w:line="600" w:lineRule="exact"/>
        <w:ind w:firstLine="640"/>
        <w:rPr>
          <w:rFonts w:ascii="仿宋_GB2312" w:hAnsi="仿宋_GB2312" w:eastAsia="仿宋_GB2312" w:cs="仿宋_GB2312"/>
          <w:bCs/>
          <w:sz w:val="32"/>
          <w:szCs w:val="32"/>
        </w:rPr>
      </w:pPr>
      <w:r>
        <w:rPr>
          <w:rFonts w:hint="eastAsia" w:ascii="楷体_GB2312" w:hAnsi="楷体_GB2312" w:eastAsia="楷体_GB2312" w:cs="楷体_GB2312"/>
          <w:b/>
          <w:sz w:val="32"/>
          <w:szCs w:val="32"/>
        </w:rPr>
        <w:t>第十二条</w:t>
      </w:r>
      <w:r>
        <w:rPr>
          <w:rFonts w:hint="eastAsia" w:ascii="仿宋_GB2312" w:hAnsi="仿宋_GB2312" w:eastAsia="仿宋_GB2312" w:cs="仿宋_GB2312"/>
          <w:sz w:val="32"/>
          <w:szCs w:val="32"/>
        </w:rPr>
        <w:t>在本市进场开展招标代理业务的招标代理机构及其从业人员，应按相关规定开展招标代理业务，并主动接受信用评价。</w:t>
      </w:r>
    </w:p>
    <w:p>
      <w:pPr>
        <w:spacing w:line="600" w:lineRule="exact"/>
        <w:ind w:firstLine="640"/>
        <w:rPr>
          <w:rFonts w:ascii="仿宋_GB2312" w:hAnsi="仿宋_GB2312" w:eastAsia="仿宋_GB2312" w:cs="仿宋_GB2312"/>
          <w:sz w:val="32"/>
          <w:szCs w:val="32"/>
        </w:rPr>
      </w:pPr>
      <w:r>
        <w:rPr>
          <w:rFonts w:hint="eastAsia" w:ascii="楷体_GB2312" w:hAnsi="楷体_GB2312" w:eastAsia="楷体_GB2312" w:cs="楷体_GB2312"/>
          <w:b/>
          <w:sz w:val="32"/>
          <w:szCs w:val="32"/>
        </w:rPr>
        <w:t>第十三条</w:t>
      </w:r>
      <w:r>
        <w:rPr>
          <w:rFonts w:hint="eastAsia" w:ascii="仿宋_GB2312" w:hAnsi="仿宋_GB2312" w:eastAsia="仿宋_GB2312" w:cs="仿宋_GB2312"/>
          <w:sz w:val="32"/>
          <w:szCs w:val="32"/>
        </w:rPr>
        <w:t>参评的招标代理机构，应在市公共资源交易网站公开信用信息并接受社会监督。信息主要包括：企业基本信息、人员信息、业绩信息和信用评价信息等。</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招标代理机构及其从业人员应主动签订并公开代理业务信用承诺书，信用承诺书通过相关平台向社会公示，承诺履约情况纳入评价指标。</w:t>
      </w:r>
    </w:p>
    <w:p>
      <w:pPr>
        <w:spacing w:line="600" w:lineRule="exact"/>
        <w:ind w:firstLine="640"/>
        <w:rPr>
          <w:rFonts w:ascii="仿宋_GB2312" w:hAnsi="仿宋_GB2312" w:eastAsia="仿宋_GB2312" w:cs="仿宋_GB2312"/>
          <w:sz w:val="32"/>
          <w:szCs w:val="32"/>
        </w:rPr>
      </w:pPr>
      <w:r>
        <w:rPr>
          <w:rFonts w:hint="eastAsia" w:ascii="楷体_GB2312" w:hAnsi="楷体_GB2312" w:eastAsia="楷体_GB2312" w:cs="楷体_GB2312"/>
          <w:b/>
          <w:sz w:val="32"/>
          <w:szCs w:val="32"/>
        </w:rPr>
        <w:t>第十四条</w:t>
      </w:r>
      <w:r>
        <w:rPr>
          <w:rFonts w:hint="eastAsia" w:ascii="仿宋_GB2312" w:hAnsi="仿宋_GB2312" w:eastAsia="仿宋_GB2312" w:cs="仿宋_GB2312"/>
          <w:sz w:val="32"/>
          <w:szCs w:val="32"/>
        </w:rPr>
        <w:t>招标代理机构从业人员应与所在代理机构依法建立劳动关系，且熟练掌握招投标相关法律规定和政策。</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第十五条</w:t>
      </w:r>
      <w:r>
        <w:rPr>
          <w:rFonts w:hint="eastAsia" w:ascii="仿宋_GB2312" w:hAnsi="仿宋_GB2312" w:eastAsia="仿宋_GB2312" w:cs="仿宋_GB2312"/>
          <w:sz w:val="32"/>
          <w:szCs w:val="32"/>
        </w:rPr>
        <w:t>招标代理机构信用评价包含其所有分支机构及其从业人员，评价信息均统一计入所属法人企业。</w:t>
      </w:r>
    </w:p>
    <w:p>
      <w:pPr>
        <w:snapToGrid w:val="0"/>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第十六条</w:t>
      </w:r>
      <w:r>
        <w:rPr>
          <w:rFonts w:hint="eastAsia" w:ascii="仿宋_GB2312" w:hAnsi="仿宋_GB2312" w:eastAsia="仿宋_GB2312" w:cs="仿宋_GB2312"/>
          <w:sz w:val="32"/>
          <w:szCs w:val="32"/>
        </w:rPr>
        <w:t>招标代理机构信用信息采取企业申报和评价实施单位采集相结合方式获取。</w:t>
      </w:r>
    </w:p>
    <w:p>
      <w:pPr>
        <w:snapToGrid w:val="0"/>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第十七条</w:t>
      </w:r>
      <w:r>
        <w:rPr>
          <w:rFonts w:hint="eastAsia" w:ascii="仿宋_GB2312" w:hAnsi="仿宋_GB2312" w:eastAsia="仿宋_GB2312" w:cs="仿宋_GB2312"/>
          <w:sz w:val="32"/>
          <w:szCs w:val="32"/>
        </w:rPr>
        <w:t>招标代理机构及其从业人员受到县级及以上相关主管部门（以建设、交通、水利、市场监管、工商等相关行政监督部门为准）或行（专）业协会表彰的奖励信息，应主动将表彰文件或者其他证明材料上传至代理机构信息库。奖励信息未申报的，不作为评价依据。</w:t>
      </w:r>
    </w:p>
    <w:p>
      <w:pPr>
        <w:snapToGrid w:val="0"/>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第十八条</w:t>
      </w:r>
      <w:r>
        <w:rPr>
          <w:rFonts w:hint="eastAsia" w:ascii="仿宋_GB2312" w:hAnsi="仿宋_GB2312" w:eastAsia="仿宋_GB2312" w:cs="仿宋_GB2312"/>
          <w:sz w:val="32"/>
          <w:szCs w:val="32"/>
        </w:rPr>
        <w:t>代理行为考评对照《湖州市招标代理机构信用评价标准（试行）》（附件1）、《湖州市招标代理机构项从业人员信用评价标准（试行）》（附件</w:t>
      </w:r>
      <w:r>
        <w:rPr>
          <w:rFonts w:hint="eastAsia" w:ascii="宋体" w:hAnsi="宋体"/>
          <w:sz w:val="32"/>
          <w:szCs w:val="32"/>
        </w:rPr>
        <w:t>２</w:t>
      </w:r>
      <w:r>
        <w:rPr>
          <w:rFonts w:hint="eastAsia" w:ascii="仿宋_GB2312" w:hAnsi="仿宋_GB2312" w:eastAsia="仿宋_GB2312" w:cs="仿宋_GB2312"/>
          <w:sz w:val="32"/>
          <w:szCs w:val="32"/>
        </w:rPr>
        <w:t>），由评价实施单位对进场交易代理机构及其</w:t>
      </w:r>
      <w:r>
        <w:rPr>
          <w:rFonts w:hint="eastAsia" w:ascii="宋体" w:hAnsi="宋体"/>
          <w:sz w:val="32"/>
          <w:szCs w:val="32"/>
        </w:rPr>
        <w:t>从业</w:t>
      </w:r>
      <w:r>
        <w:rPr>
          <w:rFonts w:hint="eastAsia" w:ascii="仿宋_GB2312" w:hAnsi="仿宋_GB2312" w:eastAsia="仿宋_GB2312" w:cs="仿宋_GB2312"/>
          <w:sz w:val="32"/>
          <w:szCs w:val="32"/>
        </w:rPr>
        <w:t>人员的服务行为、违规违纪等进行量化考评。各区县公共资源交易管理办公室于每月5日前将上月评价信息汇总报送。</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市公管办于每季度的首月，综合招标代理机构及其从业人员的日常考核及相关信息，对招标代理机构及其从业人员上季度代理情况作出信用评价，并在市公共资源交易平台、“信用湖州”进行公布。</w:t>
      </w:r>
    </w:p>
    <w:p>
      <w:pPr>
        <w:spacing w:line="600" w:lineRule="exact"/>
        <w:ind w:firstLine="640"/>
        <w:rPr>
          <w:rFonts w:ascii="仿宋_GB2312" w:hAnsi="仿宋_GB2312" w:eastAsia="仿宋_GB2312" w:cs="仿宋_GB2312"/>
          <w:sz w:val="32"/>
          <w:szCs w:val="32"/>
        </w:rPr>
      </w:pPr>
    </w:p>
    <w:p>
      <w:pPr>
        <w:snapToGrid w:val="0"/>
        <w:spacing w:line="600" w:lineRule="exact"/>
        <w:jc w:val="center"/>
        <w:outlineLvl w:val="0"/>
        <w:rPr>
          <w:rFonts w:ascii="黑体" w:hAnsi="黑体" w:eastAsia="黑体" w:cs="仿宋_GB2312"/>
          <w:bCs/>
          <w:color w:val="000000"/>
          <w:kern w:val="0"/>
          <w:sz w:val="32"/>
          <w:szCs w:val="32"/>
        </w:rPr>
      </w:pPr>
      <w:r>
        <w:rPr>
          <w:rFonts w:hint="eastAsia" w:ascii="黑体" w:hAnsi="黑体" w:eastAsia="黑体" w:cs="仿宋_GB2312"/>
          <w:bCs/>
          <w:sz w:val="32"/>
          <w:szCs w:val="32"/>
        </w:rPr>
        <w:t>第四章评价结果应用</w:t>
      </w:r>
    </w:p>
    <w:p>
      <w:pPr>
        <w:snapToGrid w:val="0"/>
        <w:spacing w:line="600" w:lineRule="exact"/>
        <w:ind w:firstLine="643" w:firstLineChars="200"/>
        <w:jc w:val="left"/>
        <w:outlineLvl w:val="0"/>
        <w:rPr>
          <w:rFonts w:ascii="仿宋_GB2312" w:hAnsi="仿宋_GB2312" w:eastAsia="仿宋_GB2312" w:cs="仿宋_GB2312"/>
          <w:bCs/>
          <w:sz w:val="32"/>
          <w:szCs w:val="32"/>
        </w:rPr>
      </w:pPr>
      <w:r>
        <w:rPr>
          <w:rFonts w:hint="eastAsia" w:ascii="楷体_GB2312" w:hAnsi="楷体_GB2312" w:eastAsia="楷体_GB2312" w:cs="楷体_GB2312"/>
          <w:b/>
          <w:sz w:val="32"/>
          <w:szCs w:val="32"/>
        </w:rPr>
        <w:t>第十九条</w:t>
      </w:r>
      <w:r>
        <w:rPr>
          <w:rFonts w:hint="eastAsia" w:ascii="仿宋_GB2312" w:hAnsi="仿宋_GB2312" w:eastAsia="仿宋_GB2312" w:cs="仿宋_GB2312"/>
          <w:bCs/>
          <w:sz w:val="32"/>
          <w:szCs w:val="32"/>
        </w:rPr>
        <w:t xml:space="preserve"> 各级公共资源管理部门根据信用评价结果，对招标代理机构及从业人员实施分级分类监管，信用评价等级为D及以下的招标代理机构及其从业人员将纳入重点监管。</w:t>
      </w:r>
    </w:p>
    <w:p>
      <w:pPr>
        <w:snapToGrid w:val="0"/>
        <w:spacing w:line="600" w:lineRule="exact"/>
        <w:ind w:firstLine="643" w:firstLineChars="200"/>
        <w:jc w:val="left"/>
        <w:outlineLvl w:val="0"/>
        <w:rPr>
          <w:rFonts w:ascii="仿宋_GB2312" w:hAnsi="仿宋_GB2312" w:eastAsia="仿宋_GB2312" w:cs="仿宋_GB2312"/>
          <w:bCs/>
          <w:color w:val="FF0000"/>
          <w:sz w:val="32"/>
          <w:szCs w:val="32"/>
        </w:rPr>
      </w:pPr>
      <w:r>
        <w:rPr>
          <w:rFonts w:hint="eastAsia" w:ascii="楷体_GB2312" w:hAnsi="楷体_GB2312" w:eastAsia="楷体_GB2312" w:cs="楷体_GB2312"/>
          <w:b/>
          <w:sz w:val="32"/>
          <w:szCs w:val="32"/>
        </w:rPr>
        <w:t>第二十条</w:t>
      </w:r>
      <w:r>
        <w:rPr>
          <w:rFonts w:hint="eastAsia" w:ascii="仿宋_GB2312" w:hAnsi="仿宋_GB2312" w:eastAsia="仿宋_GB2312" w:cs="仿宋_GB2312"/>
          <w:bCs/>
          <w:sz w:val="32"/>
          <w:szCs w:val="32"/>
        </w:rPr>
        <w:t>市（区县）公管办对上一周期公布的信用评价等级</w:t>
      </w:r>
      <w:r>
        <w:rPr>
          <w:rFonts w:hint="eastAsia" w:ascii="仿宋_GB2312" w:hAnsi="仿宋_GB2312" w:eastAsia="仿宋_GB2312" w:cs="仿宋_GB2312"/>
          <w:bCs/>
          <w:color w:val="FF0000"/>
          <w:sz w:val="32"/>
          <w:szCs w:val="32"/>
        </w:rPr>
        <w:t>A级的招标代理机构及其从业人员可给予以下激励性措施：</w:t>
      </w:r>
    </w:p>
    <w:p>
      <w:pPr>
        <w:snapToGrid w:val="0"/>
        <w:spacing w:line="600" w:lineRule="exact"/>
        <w:ind w:firstLine="640" w:firstLineChars="200"/>
        <w:jc w:val="left"/>
        <w:outlineLvl w:val="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（一）对其进场办理招标代理事项提供优先服务；</w:t>
      </w:r>
    </w:p>
    <w:p>
      <w:pPr>
        <w:snapToGrid w:val="0"/>
        <w:spacing w:line="600" w:lineRule="exact"/>
        <w:ind w:firstLine="640" w:firstLineChars="200"/>
        <w:jc w:val="left"/>
        <w:outlineLvl w:val="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（二）优先安排参与造价等行业管理机构或协会组织的调研、学术研究等活动；</w:t>
      </w:r>
    </w:p>
    <w:p>
      <w:pPr>
        <w:snapToGrid w:val="0"/>
        <w:spacing w:line="600" w:lineRule="exact"/>
        <w:ind w:firstLine="640" w:firstLineChars="200"/>
        <w:jc w:val="left"/>
        <w:outlineLvl w:val="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（三）优先安排在杂志（包括自办刊物）、报纸、网站等新闻媒介刊登宣传；</w:t>
      </w:r>
    </w:p>
    <w:p>
      <w:pPr>
        <w:snapToGrid w:val="0"/>
        <w:spacing w:line="600" w:lineRule="exact"/>
        <w:ind w:firstLine="640" w:firstLineChars="200"/>
        <w:jc w:val="left"/>
        <w:outlineLvl w:val="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（四）优先提名有关的表彰奖励活动；</w:t>
      </w:r>
    </w:p>
    <w:p>
      <w:pPr>
        <w:snapToGrid w:val="0"/>
        <w:spacing w:line="600" w:lineRule="exact"/>
        <w:ind w:firstLine="640" w:firstLineChars="200"/>
        <w:jc w:val="left"/>
        <w:outlineLvl w:val="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（五）建议政府投资项目选择招标代理机构时给予适当加分；</w:t>
      </w:r>
    </w:p>
    <w:p>
      <w:pPr>
        <w:snapToGrid w:val="0"/>
        <w:spacing w:line="600" w:lineRule="exact"/>
        <w:ind w:firstLine="640" w:firstLineChars="200"/>
        <w:jc w:val="left"/>
        <w:outlineLvl w:val="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（六）项目负责人可同一时段代理最多8个交易项目；</w:t>
      </w:r>
    </w:p>
    <w:p>
      <w:pPr>
        <w:snapToGrid w:val="0"/>
        <w:spacing w:line="600" w:lineRule="exact"/>
        <w:ind w:firstLine="640" w:firstLineChars="200"/>
        <w:jc w:val="left"/>
        <w:outlineLvl w:val="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（七）国家或地方规定的其他激励性措施。</w:t>
      </w:r>
    </w:p>
    <w:p>
      <w:pPr>
        <w:snapToGrid w:val="0"/>
        <w:spacing w:line="600" w:lineRule="exact"/>
        <w:ind w:firstLine="643" w:firstLineChars="200"/>
        <w:jc w:val="left"/>
        <w:outlineLvl w:val="0"/>
        <w:rPr>
          <w:rFonts w:ascii="仿宋_GB2312" w:hAnsi="仿宋_GB2312" w:eastAsia="仿宋_GB2312" w:cs="仿宋_GB2312"/>
          <w:bCs/>
          <w:color w:val="FF0000"/>
          <w:sz w:val="32"/>
          <w:szCs w:val="32"/>
        </w:rPr>
      </w:pPr>
      <w:r>
        <w:rPr>
          <w:rFonts w:hint="eastAsia" w:ascii="楷体_GB2312" w:hAnsi="楷体_GB2312" w:eastAsia="楷体_GB2312" w:cs="楷体_GB2312"/>
          <w:b/>
          <w:bCs/>
          <w:sz w:val="32"/>
          <w:szCs w:val="32"/>
        </w:rPr>
        <w:t>第二十一条</w:t>
      </w:r>
      <w:r>
        <w:rPr>
          <w:rFonts w:hint="eastAsia" w:ascii="仿宋_GB2312" w:hAnsi="仿宋_GB2312" w:eastAsia="仿宋_GB2312" w:cs="仿宋_GB2312"/>
          <w:bCs/>
          <w:sz w:val="32"/>
          <w:szCs w:val="32"/>
        </w:rPr>
        <w:t xml:space="preserve"> 市（区县）公管办对上一周期公布的信用评价</w:t>
      </w:r>
      <w:r>
        <w:rPr>
          <w:rFonts w:hint="eastAsia" w:ascii="仿宋_GB2312" w:hAnsi="仿宋_GB2312" w:eastAsia="仿宋_GB2312" w:cs="仿宋_GB2312"/>
          <w:bCs/>
          <w:color w:val="FF0000"/>
          <w:sz w:val="32"/>
          <w:szCs w:val="32"/>
        </w:rPr>
        <w:t>等级为D及以下的招标代理机构及从业人员，可对其实施以下监管措施：</w:t>
      </w:r>
    </w:p>
    <w:p>
      <w:pPr>
        <w:snapToGrid w:val="0"/>
        <w:spacing w:line="600" w:lineRule="exact"/>
        <w:ind w:firstLine="640" w:firstLineChars="200"/>
        <w:jc w:val="left"/>
        <w:outlineLvl w:val="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（一）对进场招标代理项目办理事项加大监督力度；</w:t>
      </w:r>
    </w:p>
    <w:p>
      <w:pPr>
        <w:snapToGrid w:val="0"/>
        <w:spacing w:line="600" w:lineRule="exact"/>
        <w:ind w:firstLine="640" w:firstLineChars="200"/>
        <w:jc w:val="left"/>
        <w:outlineLvl w:val="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（二）从业人员应按规定参加相关培训教育；</w:t>
      </w:r>
    </w:p>
    <w:p>
      <w:pPr>
        <w:snapToGrid w:val="0"/>
        <w:spacing w:line="600" w:lineRule="exact"/>
        <w:ind w:firstLine="640" w:firstLineChars="200"/>
        <w:jc w:val="left"/>
        <w:outlineLvl w:val="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（三）作为政府投资项目招标代理审慎性参考（重要依据）；</w:t>
      </w:r>
    </w:p>
    <w:p>
      <w:pPr>
        <w:snapToGrid w:val="0"/>
        <w:spacing w:line="600" w:lineRule="exact"/>
        <w:ind w:firstLine="640" w:firstLineChars="200"/>
        <w:jc w:val="left"/>
        <w:outlineLvl w:val="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（四）在各类表彰奖励中作为审慎性参考；</w:t>
      </w:r>
    </w:p>
    <w:p>
      <w:pPr>
        <w:snapToGrid w:val="0"/>
        <w:spacing w:line="600" w:lineRule="exact"/>
        <w:ind w:firstLine="640" w:firstLineChars="200"/>
        <w:jc w:val="left"/>
        <w:outlineLvl w:val="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（五）国家或地方相关法律法规等规定的其他约束性措施。</w:t>
      </w:r>
    </w:p>
    <w:p>
      <w:pPr>
        <w:snapToGrid w:val="0"/>
        <w:spacing w:line="600" w:lineRule="exact"/>
        <w:ind w:firstLine="643" w:firstLineChars="200"/>
        <w:jc w:val="left"/>
        <w:outlineLvl w:val="0"/>
        <w:rPr>
          <w:rFonts w:ascii="仿宋_GB2312" w:hAnsi="仿宋_GB2312" w:eastAsia="仿宋_GB2312" w:cs="仿宋_GB2312"/>
          <w:bCs/>
          <w:sz w:val="32"/>
          <w:szCs w:val="32"/>
        </w:rPr>
      </w:pPr>
      <w:r>
        <w:rPr>
          <w:rFonts w:hint="eastAsia" w:ascii="楷体_GB2312" w:hAnsi="楷体_GB2312" w:eastAsia="楷体_GB2312" w:cs="楷体_GB2312"/>
          <w:b/>
          <w:bCs/>
          <w:sz w:val="32"/>
          <w:szCs w:val="32"/>
        </w:rPr>
        <w:t>第二十二条</w:t>
      </w:r>
      <w:r>
        <w:rPr>
          <w:rFonts w:hint="eastAsia" w:ascii="仿宋_GB2312" w:hAnsi="仿宋_GB2312" w:eastAsia="仿宋_GB2312" w:cs="仿宋_GB2312"/>
          <w:bCs/>
          <w:sz w:val="32"/>
          <w:szCs w:val="32"/>
        </w:rPr>
        <w:t xml:space="preserve">招标代理机构及从业人员有被列入联合惩戒黑名单或严重失信名单的,不得在湖州市公共资源交易平台从事代理业务。 </w:t>
      </w:r>
    </w:p>
    <w:p>
      <w:pPr>
        <w:snapToGrid w:val="0"/>
        <w:spacing w:line="600" w:lineRule="exact"/>
        <w:ind w:firstLine="643" w:firstLineChars="200"/>
        <w:jc w:val="left"/>
        <w:outlineLvl w:val="0"/>
        <w:rPr>
          <w:rFonts w:ascii="仿宋_GB2312" w:hAnsi="仿宋_GB2312" w:eastAsia="仿宋_GB2312" w:cs="仿宋_GB2312"/>
          <w:bCs/>
          <w:sz w:val="32"/>
          <w:szCs w:val="32"/>
        </w:rPr>
      </w:pPr>
      <w:r>
        <w:rPr>
          <w:rFonts w:hint="eastAsia" w:ascii="楷体_GB2312" w:hAnsi="楷体_GB2312" w:eastAsia="楷体_GB2312" w:cs="楷体_GB2312"/>
          <w:b/>
          <w:bCs/>
          <w:sz w:val="32"/>
          <w:szCs w:val="32"/>
        </w:rPr>
        <w:t>第二十三条</w:t>
      </w:r>
      <w:r>
        <w:rPr>
          <w:rFonts w:hint="eastAsia" w:ascii="仿宋_GB2312" w:hAnsi="仿宋_GB2312" w:eastAsia="仿宋_GB2312" w:cs="仿宋_GB2312"/>
          <w:bCs/>
          <w:sz w:val="32"/>
          <w:szCs w:val="32"/>
        </w:rPr>
        <w:t xml:space="preserve"> 招标代理机构及其从业人员信用评价结果将共享给省、市级信用管理主管部门及相关职能部门，推动代理机构信用评价结果在行政许可、采购招标、评先评优、信贷支持、资质等级评定等工作中的应用，促进代理机构主动提升招标代理信用评价等级。</w:t>
      </w:r>
    </w:p>
    <w:p>
      <w:pPr>
        <w:snapToGrid w:val="0"/>
        <w:spacing w:line="600" w:lineRule="exact"/>
        <w:ind w:firstLine="640" w:firstLineChars="200"/>
        <w:jc w:val="left"/>
        <w:outlineLvl w:val="0"/>
        <w:rPr>
          <w:rFonts w:ascii="仿宋_GB2312" w:hAnsi="仿宋_GB2312" w:eastAsia="仿宋_GB2312" w:cs="仿宋_GB2312"/>
          <w:bCs/>
          <w:sz w:val="32"/>
          <w:szCs w:val="32"/>
        </w:rPr>
      </w:pPr>
    </w:p>
    <w:p>
      <w:pPr>
        <w:snapToGrid w:val="0"/>
        <w:spacing w:line="600" w:lineRule="exact"/>
        <w:jc w:val="center"/>
        <w:outlineLvl w:val="0"/>
        <w:rPr>
          <w:rFonts w:ascii="黑体" w:hAnsi="黑体" w:eastAsia="黑体" w:cs="仿宋_GB2312"/>
          <w:bCs/>
          <w:sz w:val="32"/>
          <w:szCs w:val="32"/>
        </w:rPr>
      </w:pPr>
      <w:r>
        <w:rPr>
          <w:rFonts w:hint="eastAsia" w:ascii="黑体" w:hAnsi="黑体" w:eastAsia="黑体" w:cs="仿宋_GB2312"/>
          <w:bCs/>
          <w:sz w:val="32"/>
          <w:szCs w:val="32"/>
        </w:rPr>
        <w:t>第五章参评主体权益保护</w:t>
      </w:r>
    </w:p>
    <w:p>
      <w:pPr>
        <w:spacing w:line="600" w:lineRule="exact"/>
        <w:ind w:firstLine="640"/>
        <w:rPr>
          <w:rFonts w:ascii="仿宋_GB2312" w:hAnsi="仿宋_GB2312" w:eastAsia="仿宋_GB2312" w:cs="仿宋_GB2312"/>
          <w:sz w:val="32"/>
          <w:szCs w:val="32"/>
        </w:rPr>
      </w:pPr>
      <w:r>
        <w:rPr>
          <w:rFonts w:hint="eastAsia" w:ascii="楷体_GB2312" w:hAnsi="楷体_GB2312" w:eastAsia="楷体_GB2312" w:cs="楷体_GB2312"/>
          <w:b/>
          <w:bCs/>
          <w:color w:val="000000"/>
          <w:kern w:val="0"/>
          <w:sz w:val="32"/>
          <w:szCs w:val="32"/>
        </w:rPr>
        <w:t>第二十四条</w:t>
      </w:r>
      <w:r>
        <w:rPr>
          <w:rFonts w:hint="eastAsia" w:ascii="仿宋_GB2312" w:hAnsi="仿宋_GB2312" w:eastAsia="仿宋_GB2312" w:cs="仿宋_GB2312"/>
          <w:sz w:val="32"/>
          <w:szCs w:val="32"/>
        </w:rPr>
        <w:t>招标代理机构及其从业人员对信用评价指标扣分事项有异议的，可自知道之日起3个工作日内，通过书面形式向评价实施单位提出复核申请，并提供相关证据材料。</w:t>
      </w:r>
    </w:p>
    <w:p>
      <w:pPr>
        <w:spacing w:line="600" w:lineRule="exact"/>
        <w:ind w:firstLine="640"/>
        <w:rPr>
          <w:rFonts w:ascii="仿宋_GB2312" w:hAnsi="仿宋_GB2312" w:eastAsia="仿宋_GB2312" w:cs="仿宋_GB2312"/>
          <w:sz w:val="32"/>
          <w:szCs w:val="32"/>
        </w:rPr>
      </w:pPr>
      <w:r>
        <w:rPr>
          <w:rFonts w:hint="eastAsia" w:ascii="楷体_GB2312" w:hAnsi="楷体_GB2312" w:eastAsia="楷体_GB2312" w:cs="楷体_GB2312"/>
          <w:b/>
          <w:bCs/>
          <w:color w:val="000000"/>
          <w:kern w:val="0"/>
          <w:sz w:val="32"/>
          <w:szCs w:val="32"/>
        </w:rPr>
        <w:t>第二十五条</w:t>
      </w:r>
      <w:r>
        <w:rPr>
          <w:rFonts w:hint="eastAsia" w:ascii="仿宋_GB2312" w:hAnsi="仿宋_GB2312" w:eastAsia="仿宋_GB2312" w:cs="仿宋_GB2312"/>
          <w:sz w:val="32"/>
          <w:szCs w:val="32"/>
        </w:rPr>
        <w:t>评价实施单位应当在收到招标代理机构及其从业人员复核申请之日起3个工作日内，将复核结果告知招标代理机构。若复核需要延长处理期限的，应当告知招标代理机构及其从业人员，但累计不得超过5个工作日。招标代理机构及其从业人员对复核结果有异议的，可通过以书面形式向市公管办提出申诉，如复核确认评价信息有误的，评价实施单位应自确认之日起3个工作日内予以更正。</w:t>
      </w:r>
    </w:p>
    <w:p>
      <w:pPr>
        <w:widowControl/>
        <w:snapToGrid w:val="0"/>
        <w:spacing w:line="600" w:lineRule="exact"/>
        <w:ind w:firstLine="675" w:firstLineChars="210"/>
        <w:rPr>
          <w:rFonts w:ascii="仿宋_GB2312" w:hAnsi="仿宋_GB2312" w:eastAsia="仿宋_GB2312" w:cs="仿宋_GB2312"/>
          <w:sz w:val="32"/>
          <w:szCs w:val="32"/>
        </w:rPr>
      </w:pPr>
      <w:r>
        <w:rPr>
          <w:rFonts w:hint="eastAsia" w:ascii="楷体_GB2312" w:hAnsi="楷体_GB2312" w:eastAsia="楷体_GB2312" w:cs="楷体_GB2312"/>
          <w:b/>
          <w:bCs/>
          <w:color w:val="000000"/>
          <w:kern w:val="0"/>
          <w:sz w:val="32"/>
          <w:szCs w:val="32"/>
        </w:rPr>
        <w:t>第二十六条</w:t>
      </w:r>
      <w:r>
        <w:rPr>
          <w:rFonts w:hint="eastAsia" w:ascii="仿宋_GB2312" w:hAnsi="仿宋_GB2312" w:eastAsia="仿宋_GB2312" w:cs="仿宋_GB2312"/>
          <w:sz w:val="32"/>
          <w:szCs w:val="32"/>
        </w:rPr>
        <w:t>招标代理机构及其从业人员信用评价</w:t>
      </w:r>
      <w:r>
        <w:rPr>
          <w:rFonts w:hint="eastAsia" w:ascii="仿宋_GB2312" w:hAnsi="仿宋_GB2312" w:eastAsia="仿宋_GB2312" w:cs="仿宋_GB2312"/>
          <w:color w:val="FF0000"/>
          <w:sz w:val="32"/>
          <w:szCs w:val="32"/>
        </w:rPr>
        <w:t>每季度为一个信用评价周期，周期内累计扣分和加分。</w:t>
      </w:r>
      <w:r>
        <w:rPr>
          <w:rFonts w:hint="eastAsia" w:ascii="仿宋_GB2312" w:hAnsi="仿宋_GB2312" w:eastAsia="仿宋_GB2312" w:cs="仿宋_GB2312"/>
          <w:sz w:val="32"/>
          <w:szCs w:val="32"/>
        </w:rPr>
        <w:t>招标代理机构及其从业人员受到考核扣分的，应当认真进行整改，并将整改意见书面提交各级公共资源交易管理部门。一个信用评价周期结束后，如扣分行为已整改到位，评价扣分清零重新计算；未进行整改或整改不到位的，评价扣分将延续至下个周期。</w:t>
      </w:r>
    </w:p>
    <w:p>
      <w:pPr>
        <w:widowControl/>
        <w:snapToGrid w:val="0"/>
        <w:spacing w:line="600" w:lineRule="exact"/>
        <w:ind w:firstLine="672" w:firstLineChars="210"/>
        <w:rPr>
          <w:rFonts w:ascii="仿宋_GB2312" w:hAnsi="仿宋_GB2312" w:eastAsia="仿宋_GB2312" w:cs="仿宋_GB2312"/>
          <w:sz w:val="32"/>
          <w:szCs w:val="32"/>
        </w:rPr>
      </w:pPr>
      <w:r>
        <w:rPr>
          <w:rFonts w:hint="eastAsia" w:ascii="仿宋_GB2312" w:hAnsi="仿宋_GB2312" w:eastAsia="仿宋_GB2312" w:cs="仿宋_GB2312"/>
          <w:sz w:val="32"/>
          <w:szCs w:val="32"/>
        </w:rPr>
        <w:t>从业人员违背招标业务信用承诺等相关行为的，纳入湖州市个人诚信码评价管理。</w:t>
      </w:r>
    </w:p>
    <w:p>
      <w:pPr>
        <w:spacing w:line="600" w:lineRule="exact"/>
        <w:ind w:firstLine="640"/>
        <w:rPr>
          <w:rFonts w:ascii="仿宋_GB2312" w:hAnsi="仿宋_GB2312" w:eastAsia="仿宋_GB2312" w:cs="仿宋_GB2312"/>
          <w:color w:val="000000"/>
          <w:kern w:val="0"/>
          <w:sz w:val="32"/>
          <w:szCs w:val="32"/>
        </w:rPr>
      </w:pPr>
      <w:r>
        <w:rPr>
          <w:rFonts w:hint="eastAsia" w:ascii="楷体_GB2312" w:hAnsi="楷体_GB2312" w:eastAsia="楷体_GB2312" w:cs="楷体_GB2312"/>
          <w:b/>
          <w:bCs/>
          <w:color w:val="000000"/>
          <w:kern w:val="0"/>
          <w:sz w:val="32"/>
          <w:szCs w:val="32"/>
        </w:rPr>
        <w:t>第二十七条</w:t>
      </w:r>
      <w:r>
        <w:rPr>
          <w:rFonts w:hint="eastAsia" w:ascii="仿宋_GB2312" w:hAnsi="仿宋_GB2312" w:eastAsia="仿宋_GB2312" w:cs="仿宋_GB2312"/>
          <w:sz w:val="32"/>
          <w:szCs w:val="32"/>
        </w:rPr>
        <w:t>招标代理机构及其从业人员在招标代理活动中有涉及违法犯罪的行为，应移交相关部门另行处理。</w:t>
      </w:r>
    </w:p>
    <w:p>
      <w:pPr>
        <w:snapToGrid w:val="0"/>
        <w:spacing w:line="600" w:lineRule="exact"/>
        <w:jc w:val="center"/>
        <w:outlineLvl w:val="0"/>
        <w:rPr>
          <w:rFonts w:ascii="黑体" w:hAnsi="黑体" w:eastAsia="黑体" w:cs="黑体"/>
          <w:bCs/>
          <w:sz w:val="32"/>
          <w:szCs w:val="32"/>
        </w:rPr>
      </w:pPr>
    </w:p>
    <w:p>
      <w:pPr>
        <w:snapToGrid w:val="0"/>
        <w:spacing w:line="600" w:lineRule="exact"/>
        <w:jc w:val="center"/>
        <w:outlineLvl w:val="0"/>
        <w:rPr>
          <w:rFonts w:ascii="楷体_GB2312" w:hAnsi="楷体_GB2312" w:eastAsia="楷体_GB2312" w:cs="楷体_GB2312"/>
          <w:color w:val="000000"/>
          <w:kern w:val="0"/>
          <w:sz w:val="32"/>
          <w:szCs w:val="32"/>
        </w:rPr>
      </w:pPr>
      <w:r>
        <w:rPr>
          <w:rFonts w:hint="eastAsia" w:ascii="黑体" w:hAnsi="黑体" w:eastAsia="黑体" w:cs="黑体"/>
          <w:bCs/>
          <w:sz w:val="32"/>
          <w:szCs w:val="32"/>
        </w:rPr>
        <w:t>第六章　附则</w:t>
      </w:r>
    </w:p>
    <w:p>
      <w:pPr>
        <w:widowControl/>
        <w:spacing w:line="600" w:lineRule="exact"/>
        <w:ind w:firstLine="640"/>
        <w:rPr>
          <w:rFonts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第二十八条</w:t>
      </w:r>
      <w:r>
        <w:rPr>
          <w:rFonts w:hint="eastAsia" w:ascii="仿宋_GB2312" w:hAnsi="仿宋_GB2312" w:eastAsia="仿宋_GB2312" w:cs="仿宋_GB2312"/>
          <w:color w:val="000000"/>
          <w:sz w:val="32"/>
          <w:szCs w:val="32"/>
        </w:rPr>
        <w:t>各级公办管工作人员在招标代理机构及其从业人员信用评价管理工作中违法本办法规定，滥用职权、徇私舞弊、玩忽职守的，依法依规追究相关责任人责任。</w:t>
      </w:r>
    </w:p>
    <w:p>
      <w:pPr>
        <w:widowControl/>
        <w:spacing w:line="600" w:lineRule="exact"/>
        <w:ind w:firstLine="640"/>
        <w:rPr>
          <w:rFonts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第二十九条</w:t>
      </w:r>
      <w:r>
        <w:rPr>
          <w:rFonts w:hint="eastAsia" w:ascii="仿宋_GB2312" w:hAnsi="仿宋_GB2312" w:eastAsia="仿宋_GB2312" w:cs="仿宋_GB2312"/>
          <w:color w:val="000000"/>
          <w:sz w:val="32"/>
          <w:szCs w:val="32"/>
        </w:rPr>
        <w:t xml:space="preserve"> 本办法由湖州市公共资源交易管理办公室负责解释。</w:t>
      </w:r>
    </w:p>
    <w:p>
      <w:pPr>
        <w:widowControl/>
        <w:spacing w:line="600" w:lineRule="exact"/>
        <w:ind w:firstLine="640"/>
        <w:jc w:val="left"/>
        <w:rPr>
          <w:rFonts w:ascii="仿宋_GB2312" w:hAnsi="仿宋_GB2312" w:eastAsia="仿宋_GB2312" w:cs="仿宋_GB2312"/>
          <w:color w:val="000000"/>
          <w:sz w:val="32"/>
          <w:szCs w:val="32"/>
        </w:rPr>
      </w:pPr>
      <w:bookmarkStart w:id="0" w:name="_GoBack"/>
      <w:r>
        <w:rPr>
          <w:rFonts w:hint="eastAsia" w:ascii="楷体_GB2312" w:hAnsi="楷体_GB2312" w:eastAsia="楷体_GB2312" w:cs="楷体_GB2312"/>
          <w:b/>
          <w:bCs/>
          <w:color w:val="000000"/>
          <w:sz w:val="32"/>
          <w:szCs w:val="32"/>
        </w:rPr>
        <w:t>第三十条</w:t>
      </w:r>
      <w:r>
        <w:rPr>
          <w:rFonts w:hint="eastAsia" w:ascii="仿宋_GB2312" w:hAnsi="仿宋_GB2312" w:eastAsia="仿宋_GB2312" w:cs="仿宋_GB2312"/>
          <w:color w:val="000000"/>
          <w:sz w:val="32"/>
          <w:szCs w:val="32"/>
        </w:rPr>
        <w:t xml:space="preserve"> 本办法自2021年3月10日起试行，试行期一年，原《湖州市公共资源交易招标采购代理机构及从业人员行为规范考评办法》同时废止。</w:t>
      </w:r>
    </w:p>
    <w:bookmarkEnd w:id="0"/>
    <w:p>
      <w:pPr>
        <w:widowControl/>
        <w:shd w:val="clear" w:color="auto" w:fill="FFFFFF"/>
        <w:spacing w:line="600" w:lineRule="exact"/>
        <w:ind w:firstLine="640"/>
        <w:jc w:val="left"/>
        <w:rPr>
          <w:rFonts w:ascii="仿宋_GB2312" w:hAnsi="仿宋_GB2312" w:eastAsia="仿宋_GB2312" w:cs="仿宋_GB2312"/>
          <w:color w:val="000000"/>
          <w:sz w:val="32"/>
          <w:szCs w:val="32"/>
        </w:rPr>
      </w:pPr>
    </w:p>
    <w:p>
      <w:pPr>
        <w:widowControl/>
        <w:shd w:val="clear" w:color="auto" w:fill="FFFFFF"/>
        <w:spacing w:line="6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附件：1.</w:t>
      </w:r>
      <w:r>
        <w:rPr>
          <w:rFonts w:hint="eastAsia" w:ascii="仿宋_GB2312" w:hAnsi="仿宋_GB2312" w:eastAsia="仿宋_GB2312" w:cs="仿宋_GB2312"/>
          <w:sz w:val="32"/>
          <w:szCs w:val="32"/>
        </w:rPr>
        <w:t>《湖州市招标代理机构信用评价标准（试行）》</w:t>
      </w:r>
    </w:p>
    <w:p>
      <w:pPr>
        <w:widowControl/>
        <w:shd w:val="clear" w:color="auto" w:fill="FFFFFF"/>
        <w:spacing w:line="600" w:lineRule="exact"/>
        <w:ind w:left="1916" w:leftChars="760" w:hanging="320" w:hangingChars="100"/>
        <w:jc w:val="left"/>
        <w:rPr>
          <w:rFonts w:ascii="仿宋_GB2312" w:hAnsi="仿宋_GB2312" w:eastAsia="仿宋_GB2312" w:cs="仿宋_GB2312"/>
          <w:color w:val="000000"/>
          <w:sz w:val="32"/>
          <w:szCs w:val="32"/>
        </w:rPr>
        <w:sectPr>
          <w:headerReference r:id="rId3" w:type="default"/>
          <w:footerReference r:id="rId4" w:type="default"/>
          <w:pgSz w:w="11906" w:h="16838"/>
          <w:pgMar w:top="1701" w:right="1531" w:bottom="1701" w:left="1531" w:header="851" w:footer="992" w:gutter="0"/>
          <w:pgNumType w:fmt="numberInDash" w:start="1"/>
          <w:cols w:space="425" w:num="1"/>
          <w:docGrid w:type="lines" w:linePitch="312" w:charSpace="0"/>
        </w:sectPr>
      </w:pPr>
      <w:r>
        <w:rPr>
          <w:rFonts w:hint="eastAsia" w:ascii="仿宋_GB2312" w:hAnsi="仿宋_GB2312" w:eastAsia="仿宋_GB2312" w:cs="仿宋_GB2312"/>
          <w:sz w:val="32"/>
          <w:szCs w:val="32"/>
        </w:rPr>
        <w:t>2.《湖州市招标代理机构项从业人员信用评价标准（试行）》</w:t>
      </w:r>
    </w:p>
    <w:p>
      <w:pPr>
        <w:spacing w:line="600" w:lineRule="exact"/>
        <w:jc w:val="left"/>
        <w:outlineLvl w:val="0"/>
        <w:rPr>
          <w:rFonts w:ascii="宋体" w:hAnsi="宋体"/>
          <w:color w:val="000000"/>
          <w:kern w:val="0"/>
          <w:sz w:val="36"/>
          <w:szCs w:val="36"/>
        </w:rPr>
      </w:pPr>
      <w:r>
        <w:rPr>
          <w:rFonts w:hint="eastAsia" w:ascii="黑体" w:hAnsi="黑体" w:eastAsia="黑体" w:cs="黑体"/>
          <w:color w:val="000000"/>
          <w:kern w:val="0"/>
          <w:sz w:val="32"/>
          <w:szCs w:val="32"/>
        </w:rPr>
        <w:t>附件1</w:t>
      </w:r>
    </w:p>
    <w:p>
      <w:pPr>
        <w:spacing w:line="600" w:lineRule="exact"/>
        <w:jc w:val="center"/>
        <w:outlineLvl w:val="0"/>
        <w:rPr>
          <w:sz w:val="44"/>
          <w:szCs w:val="44"/>
        </w:rPr>
      </w:pPr>
      <w:r>
        <w:rPr>
          <w:rFonts w:hint="eastAsia" w:ascii="方正小标宋简体" w:hAnsi="方正小标宋简体" w:eastAsia="方正小标宋简体" w:cs="方正小标宋简体"/>
          <w:color w:val="000000"/>
          <w:kern w:val="0"/>
          <w:sz w:val="44"/>
          <w:szCs w:val="44"/>
        </w:rPr>
        <w:t>湖州市招标代理机构信用评价标准（试行）</w:t>
      </w:r>
    </w:p>
    <w:tbl>
      <w:tblPr>
        <w:tblStyle w:val="10"/>
        <w:tblW w:w="1376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5"/>
        <w:gridCol w:w="567"/>
        <w:gridCol w:w="567"/>
        <w:gridCol w:w="652"/>
        <w:gridCol w:w="6152"/>
        <w:gridCol w:w="1810"/>
        <w:gridCol w:w="1470"/>
        <w:gridCol w:w="14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blHeader/>
        </w:trPr>
        <w:tc>
          <w:tcPr>
            <w:tcW w:w="1135"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黑体" w:hAnsi="宋体" w:eastAsia="黑体" w:cs="黑体"/>
                <w:b/>
                <w:color w:val="000000"/>
                <w:sz w:val="24"/>
                <w:szCs w:val="24"/>
              </w:rPr>
            </w:pPr>
            <w:r>
              <w:rPr>
                <w:rFonts w:hint="eastAsia" w:ascii="黑体" w:hAnsi="宋体" w:eastAsia="黑体" w:cs="黑体"/>
                <w:b/>
                <w:color w:val="000000"/>
                <w:kern w:val="0"/>
                <w:sz w:val="24"/>
                <w:szCs w:val="24"/>
              </w:rPr>
              <w:t>一级指标</w:t>
            </w:r>
            <w:r>
              <w:rPr>
                <w:rFonts w:hint="eastAsia" w:ascii="黑体" w:hAnsi="宋体" w:eastAsia="黑体" w:cs="黑体"/>
                <w:b/>
                <w:color w:val="000000"/>
                <w:kern w:val="0"/>
                <w:sz w:val="24"/>
                <w:szCs w:val="24"/>
              </w:rPr>
              <w:br w:type="textWrapping"/>
            </w:r>
            <w:r>
              <w:rPr>
                <w:rFonts w:hint="eastAsia" w:ascii="黑体" w:hAnsi="宋体" w:eastAsia="黑体" w:cs="黑体"/>
                <w:b/>
                <w:color w:val="000000"/>
                <w:kern w:val="0"/>
                <w:sz w:val="24"/>
                <w:szCs w:val="24"/>
              </w:rPr>
              <w:t>（权重）</w:t>
            </w: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黑体" w:hAnsi="宋体" w:eastAsia="黑体" w:cs="黑体"/>
                <w:b/>
                <w:color w:val="000000"/>
                <w:sz w:val="24"/>
                <w:szCs w:val="24"/>
              </w:rPr>
            </w:pPr>
            <w:r>
              <w:rPr>
                <w:rFonts w:hint="eastAsia" w:ascii="黑体" w:hAnsi="宋体" w:eastAsia="黑体" w:cs="黑体"/>
                <w:b/>
                <w:color w:val="000000"/>
                <w:kern w:val="0"/>
                <w:sz w:val="24"/>
                <w:szCs w:val="24"/>
              </w:rPr>
              <w:t>权重1000分</w:t>
            </w:r>
          </w:p>
        </w:tc>
        <w:tc>
          <w:tcPr>
            <w:tcW w:w="1219" w:type="dxa"/>
            <w:gridSpan w:val="2"/>
            <w:tcBorders>
              <w:tl2br w:val="nil"/>
              <w:tr2bl w:val="nil"/>
            </w:tcBorders>
            <w:shd w:val="clear" w:color="auto" w:fill="FFFFFF"/>
            <w:tcMar>
              <w:top w:w="15" w:type="dxa"/>
              <w:left w:w="15" w:type="dxa"/>
              <w:right w:w="15" w:type="dxa"/>
            </w:tcMar>
            <w:vAlign w:val="center"/>
          </w:tcPr>
          <w:p>
            <w:pPr>
              <w:widowControl/>
              <w:jc w:val="center"/>
              <w:textAlignment w:val="center"/>
              <w:rPr>
                <w:rFonts w:ascii="黑体" w:hAnsi="宋体" w:eastAsia="黑体" w:cs="黑体"/>
                <w:b/>
                <w:color w:val="000000"/>
                <w:sz w:val="24"/>
                <w:szCs w:val="24"/>
              </w:rPr>
            </w:pPr>
            <w:r>
              <w:rPr>
                <w:rFonts w:hint="eastAsia" w:ascii="黑体" w:hAnsi="宋体" w:eastAsia="黑体" w:cs="黑体"/>
                <w:b/>
                <w:color w:val="000000"/>
                <w:kern w:val="0"/>
                <w:sz w:val="24"/>
                <w:szCs w:val="24"/>
              </w:rPr>
              <w:t>二级指标</w:t>
            </w:r>
          </w:p>
        </w:tc>
        <w:tc>
          <w:tcPr>
            <w:tcW w:w="61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黑体" w:hAnsi="宋体" w:eastAsia="黑体" w:cs="黑体"/>
                <w:b/>
                <w:color w:val="000000"/>
                <w:sz w:val="22"/>
              </w:rPr>
            </w:pPr>
            <w:r>
              <w:rPr>
                <w:rFonts w:hint="eastAsia" w:ascii="黑体" w:hAnsi="宋体" w:eastAsia="黑体" w:cs="黑体"/>
                <w:b/>
                <w:color w:val="000000"/>
                <w:kern w:val="0"/>
                <w:sz w:val="22"/>
              </w:rPr>
              <w:t>评价标准</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黑体" w:hAnsi="宋体" w:eastAsia="黑体" w:cs="黑体"/>
                <w:b/>
                <w:color w:val="000000"/>
                <w:sz w:val="22"/>
              </w:rPr>
            </w:pPr>
            <w:r>
              <w:rPr>
                <w:rFonts w:hint="eastAsia" w:ascii="黑体" w:hAnsi="宋体" w:eastAsia="黑体" w:cs="黑体"/>
                <w:b/>
                <w:color w:val="000000"/>
                <w:kern w:val="0"/>
                <w:sz w:val="22"/>
              </w:rPr>
              <w:t>扣（得）分规则</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黑体" w:hAnsi="宋体" w:eastAsia="黑体" w:cs="黑体"/>
                <w:b/>
                <w:color w:val="000000"/>
                <w:sz w:val="24"/>
                <w:szCs w:val="24"/>
              </w:rPr>
            </w:pPr>
            <w:r>
              <w:rPr>
                <w:rFonts w:hint="eastAsia" w:ascii="黑体" w:hAnsi="宋体" w:eastAsia="黑体" w:cs="黑体"/>
                <w:b/>
                <w:color w:val="000000"/>
                <w:kern w:val="0"/>
                <w:sz w:val="24"/>
                <w:szCs w:val="24"/>
              </w:rPr>
              <w:t>计分方式</w:t>
            </w:r>
          </w:p>
        </w:tc>
        <w:tc>
          <w:tcPr>
            <w:tcW w:w="141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黑体" w:hAnsi="宋体" w:eastAsia="黑体" w:cs="黑体"/>
                <w:b/>
                <w:color w:val="000000"/>
                <w:sz w:val="24"/>
                <w:szCs w:val="24"/>
              </w:rPr>
            </w:pPr>
            <w:r>
              <w:rPr>
                <w:rFonts w:hint="eastAsia" w:ascii="黑体" w:hAnsi="宋体" w:eastAsia="黑体" w:cs="黑体"/>
                <w:b/>
                <w:color w:val="000000"/>
                <w:kern w:val="0"/>
                <w:sz w:val="24"/>
                <w:szCs w:val="24"/>
              </w:rPr>
              <w:t>数据来源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b/>
                <w:color w:val="000000"/>
                <w:kern w:val="0"/>
                <w:sz w:val="20"/>
                <w:szCs w:val="20"/>
              </w:rPr>
            </w:pPr>
            <w:r>
              <w:rPr>
                <w:rFonts w:hint="eastAsia" w:ascii="宋体" w:hAnsi="宋体"/>
                <w:b/>
                <w:color w:val="000000"/>
                <w:kern w:val="0"/>
                <w:sz w:val="20"/>
                <w:szCs w:val="20"/>
              </w:rPr>
              <w:t>基础信息</w:t>
            </w:r>
          </w:p>
          <w:p>
            <w:pPr>
              <w:widowControl/>
              <w:jc w:val="center"/>
              <w:textAlignment w:val="center"/>
              <w:rPr>
                <w:rFonts w:ascii="宋体" w:hAnsi="宋体"/>
                <w:b/>
                <w:color w:val="000000"/>
                <w:sz w:val="20"/>
                <w:szCs w:val="20"/>
              </w:rPr>
            </w:pPr>
            <w:r>
              <w:rPr>
                <w:rFonts w:hint="eastAsia" w:ascii="宋体" w:hAnsi="宋体"/>
                <w:b/>
                <w:color w:val="000000"/>
                <w:kern w:val="0"/>
                <w:sz w:val="20"/>
                <w:szCs w:val="20"/>
              </w:rPr>
              <w:t>（100分）</w:t>
            </w: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100分</w:t>
            </w:r>
          </w:p>
        </w:tc>
        <w:tc>
          <w:tcPr>
            <w:tcW w:w="1219" w:type="dxa"/>
            <w:gridSpan w:val="2"/>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b/>
                <w:color w:val="000000"/>
                <w:sz w:val="20"/>
                <w:szCs w:val="20"/>
              </w:rPr>
            </w:pPr>
            <w:r>
              <w:rPr>
                <w:rFonts w:hint="eastAsia" w:ascii="宋体" w:hAnsi="宋体"/>
                <w:b/>
                <w:color w:val="000000"/>
                <w:kern w:val="0"/>
                <w:sz w:val="20"/>
                <w:szCs w:val="20"/>
              </w:rPr>
              <w:t>综合信用</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企业公共信用评价（10%）</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以信用办统一计分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以每季度综合评分的汇总当日为准</w:t>
            </w:r>
          </w:p>
        </w:tc>
        <w:tc>
          <w:tcPr>
            <w:tcW w:w="141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信用湖州、信用浙江、信用中国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b/>
                <w:color w:val="000000"/>
                <w:sz w:val="20"/>
                <w:szCs w:val="20"/>
              </w:rPr>
            </w:pPr>
            <w:r>
              <w:rPr>
                <w:rFonts w:hint="eastAsia" w:ascii="宋体" w:hAnsi="宋体"/>
                <w:b/>
                <w:color w:val="000000"/>
                <w:sz w:val="20"/>
                <w:szCs w:val="20"/>
              </w:rPr>
              <w:t>日常考核</w:t>
            </w:r>
          </w:p>
          <w:p>
            <w:pPr>
              <w:widowControl/>
              <w:jc w:val="center"/>
              <w:textAlignment w:val="center"/>
              <w:rPr>
                <w:rFonts w:ascii="宋体" w:hAnsi="宋体"/>
                <w:b/>
                <w:color w:val="000000"/>
                <w:sz w:val="20"/>
                <w:szCs w:val="20"/>
              </w:rPr>
            </w:pPr>
            <w:r>
              <w:rPr>
                <w:rFonts w:hint="eastAsia" w:ascii="宋体" w:hAnsi="宋体"/>
                <w:b/>
                <w:color w:val="000000"/>
                <w:sz w:val="20"/>
                <w:szCs w:val="20"/>
              </w:rPr>
              <w:t>（600分）</w:t>
            </w:r>
          </w:p>
        </w:tc>
        <w:tc>
          <w:tcPr>
            <w:tcW w:w="567"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40分</w:t>
            </w:r>
          </w:p>
        </w:tc>
        <w:tc>
          <w:tcPr>
            <w:tcW w:w="567"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b/>
                <w:color w:val="000000"/>
                <w:sz w:val="20"/>
                <w:szCs w:val="20"/>
              </w:rPr>
            </w:pPr>
            <w:r>
              <w:rPr>
                <w:rFonts w:hint="eastAsia" w:ascii="宋体" w:hAnsi="宋体"/>
                <w:b/>
                <w:color w:val="000000"/>
                <w:kern w:val="0"/>
                <w:sz w:val="20"/>
                <w:szCs w:val="20"/>
              </w:rPr>
              <w:t>轻微扣分情形</w:t>
            </w: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FF0000"/>
                <w:szCs w:val="21"/>
              </w:rPr>
            </w:pPr>
            <w:r>
              <w:rPr>
                <w:rFonts w:hint="eastAsia" w:ascii="仿宋_GB2312" w:hAnsi="宋体" w:eastAsia="仿宋_GB2312" w:cs="仿宋_GB2312"/>
                <w:color w:val="FF0000"/>
                <w:kern w:val="0"/>
                <w:szCs w:val="21"/>
              </w:rPr>
              <w:t>代理机构在电子交易平台注册信息不齐全未及时进行更新的；</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每发现一次扣2分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各级公共资源交易管理机构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2</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不按规定使用有关部门制定的标准文本或者示范文本编制资格预审文件、招标文件，擅自修改统一规定内容，且事先未告知招标人、监督备案部门；</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每发现一次扣2分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3</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未按要求发布公告内容，或公告内容不明确，出现关键文字错误；</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每发现一次扣2分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4</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在电子交易平台上未正确录入招标项目登记、公告、标段等信息，已发布到网上；</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每发现一次扣2分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5</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未按规定确定开评标场地、委托投标保证金代收事宜、未按规定时限在电子交易平台申请退还投标保证金；</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每发现一次扣2分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6</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因代理机构自身原因造成开标现场异议、未完整记录开标情况等；</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每发现一次扣2分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7</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投标（资格预审申请）截止时间变更，未同步在系统中预约变更开评标场地；</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每发现一次扣2分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8</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在开评标（审）环节，工作人员未按各级公管办相关规定上岗或迟到上岗或工作人员数量未达到</w:t>
            </w:r>
            <w:r>
              <w:rPr>
                <w:rFonts w:ascii="仿宋_GB2312" w:hAnsi="宋体" w:eastAsia="仿宋_GB2312" w:cs="仿宋_GB2312"/>
                <w:color w:val="000000"/>
                <w:kern w:val="0"/>
                <w:szCs w:val="21"/>
              </w:rPr>
              <w:t>2人及以上；</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每发现一次扣2分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9</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FF0000"/>
                <w:kern w:val="0"/>
                <w:szCs w:val="21"/>
              </w:rPr>
            </w:pPr>
            <w:r>
              <w:rPr>
                <w:rFonts w:hint="eastAsia" w:ascii="仿宋_GB2312" w:hAnsi="宋体" w:eastAsia="仿宋_GB2312" w:cs="仿宋_GB2312"/>
                <w:color w:val="FF0000"/>
                <w:kern w:val="0"/>
                <w:szCs w:val="21"/>
              </w:rPr>
              <w:t>未经许可进入评标现场，或者经许可进入评标现场但未按规定办理进出登记手续；</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每发现一次扣2分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10</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FF0000"/>
                <w:szCs w:val="21"/>
              </w:rPr>
            </w:pPr>
            <w:r>
              <w:rPr>
                <w:rFonts w:hint="eastAsia" w:ascii="仿宋_GB2312" w:hAnsi="宋体" w:eastAsia="仿宋_GB2312" w:cs="仿宋_GB2312"/>
                <w:color w:val="FF0000"/>
                <w:kern w:val="0"/>
                <w:szCs w:val="21"/>
              </w:rPr>
              <w:t>未及时关闭电脑、空调等设施设备。未及时收集整理开评标现场材料、网上材料随意存放电脑桌面等情况；</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每发现一次扣2分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11</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未按规定发出中标通知书或者发出的中标通知书中的相关内容有错误；</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每发现一次扣2分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555555"/>
                <w:sz w:val="28"/>
                <w:szCs w:val="28"/>
              </w:rPr>
            </w:pPr>
            <w:r>
              <w:rPr>
                <w:rFonts w:hint="eastAsia" w:ascii="宋体" w:hAnsi="宋体"/>
                <w:color w:val="555555"/>
                <w:kern w:val="0"/>
                <w:sz w:val="20"/>
                <w:szCs w:val="20"/>
              </w:rPr>
              <w:t>70分</w:t>
            </w:r>
          </w:p>
        </w:tc>
        <w:tc>
          <w:tcPr>
            <w:tcW w:w="567"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b/>
                <w:color w:val="000000"/>
                <w:kern w:val="0"/>
                <w:sz w:val="20"/>
                <w:szCs w:val="20"/>
              </w:rPr>
            </w:pPr>
            <w:r>
              <w:rPr>
                <w:rFonts w:hint="eastAsia" w:ascii="宋体" w:hAnsi="宋体"/>
                <w:b/>
                <w:color w:val="000000"/>
                <w:kern w:val="0"/>
                <w:sz w:val="20"/>
                <w:szCs w:val="20"/>
              </w:rPr>
              <w:t>一般</w:t>
            </w:r>
          </w:p>
          <w:p>
            <w:pPr>
              <w:widowControl/>
              <w:jc w:val="center"/>
              <w:textAlignment w:val="center"/>
              <w:rPr>
                <w:rFonts w:ascii="宋体" w:hAnsi="宋体"/>
                <w:b/>
                <w:color w:val="000000"/>
                <w:sz w:val="20"/>
                <w:szCs w:val="20"/>
              </w:rPr>
            </w:pPr>
            <w:r>
              <w:rPr>
                <w:rFonts w:hint="eastAsia" w:ascii="宋体" w:hAnsi="宋体"/>
                <w:b/>
                <w:color w:val="000000"/>
                <w:kern w:val="0"/>
                <w:sz w:val="20"/>
                <w:szCs w:val="20"/>
              </w:rPr>
              <w:t>扣分情形</w:t>
            </w: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12</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编制的招标（资格预审）文件中内容不全、有歧义或前后不一致3处及以上；</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每发现一次扣4分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各级公共资源交易管理机构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13</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未作好开标前准备，或委托非招标代理机构从业人员主持开标会，或组织开标会程序不到位，致使会场秩序混乱；</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每发现一次扣4分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14</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未依照法定期限发布项目公告信息、评标结果公示、中标结果公告、合同备案等各手续；</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每发现一次扣4分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15</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FF0000"/>
                <w:szCs w:val="21"/>
              </w:rPr>
            </w:pPr>
            <w:r>
              <w:rPr>
                <w:rFonts w:hint="eastAsia" w:ascii="仿宋_GB2312" w:hAnsi="宋体" w:eastAsia="仿宋_GB2312" w:cs="仿宋_GB2312"/>
                <w:color w:val="FF0000"/>
                <w:kern w:val="0"/>
                <w:szCs w:val="21"/>
              </w:rPr>
              <w:t>评标期间，评标专家、招标人以及代理相关人员未经许可使用通讯工具的或擅自出入评标区的，未及时制止并报告；</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每发现一次扣4分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16</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招标失败后未认真分析招标失败原因，并采取有效措施，再次招标失败；</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每发现一次扣4分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6"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17</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无正当理由不按要求参加相关部门组织的会议、学习和培训；</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每发现一次扣4分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1"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18</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未在规定的时间及时发布或漏发澄清补疑（因招标人的原因或特殊要求的除外）；</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每发现一次扣4分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1"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19</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FF0000"/>
                <w:szCs w:val="21"/>
              </w:rPr>
            </w:pPr>
            <w:r>
              <w:rPr>
                <w:rFonts w:hint="eastAsia" w:ascii="仿宋_GB2312" w:hAnsi="宋体" w:eastAsia="仿宋_GB2312" w:cs="仿宋_GB2312"/>
                <w:color w:val="FF0000"/>
                <w:kern w:val="0"/>
                <w:szCs w:val="21"/>
              </w:rPr>
              <w:t>未及时将已完交易项目资料（含音视频监控资料）收集、整理归档，移交至招标人或监督部门；</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每发现一次扣4分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0"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20</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FF0000"/>
                <w:szCs w:val="21"/>
              </w:rPr>
            </w:pPr>
            <w:r>
              <w:rPr>
                <w:rFonts w:hint="eastAsia" w:ascii="仿宋_GB2312" w:hAnsi="宋体" w:eastAsia="仿宋_GB2312" w:cs="仿宋_GB2312"/>
                <w:color w:val="FF0000"/>
                <w:kern w:val="0"/>
                <w:szCs w:val="21"/>
              </w:rPr>
              <w:t>开标、评标（审）无法如期进行，在规定的时间内未发布延期通知或未及时取消已预约的开评标场地；</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每发现一次扣4分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8"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21</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开标、评标（审）环节结束后，开评标资料中出现相关人员（如招标人、代理机构项目负责人、投标人、评标专家等）漏签；</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每发现一次扣4分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2"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22</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开标、评标（审）时，电子系统操作不熟练导致出错，影响开评标；未提供规范的开评标相关准备资料或未按要求进行开评标程序；</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每发现一次扣4分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23</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评标结束当天未及时完成网上数据填报的（如开标记录网上公布等）；</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每发现一次扣4分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24</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招标异常或终止招标后未进入电子交易平台办理招标相关手续；</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每发现一次扣4分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25</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未按规定在电子交易平台中回复投标人提出的异议；</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每发现一次扣4分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5"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26</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现场交易过程中有损坏公物，未按垃圾分类要求进行精准分类等情况；</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每发现一次扣4分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9"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27</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未按相关规定支付评标专家劳务费导致评标专家投诉或故意抬高劳务费，扰乱市场行价；</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每发现一次扣4分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555555"/>
                <w:sz w:val="28"/>
                <w:szCs w:val="28"/>
              </w:rPr>
            </w:pPr>
            <w:r>
              <w:rPr>
                <w:rFonts w:hint="eastAsia" w:ascii="宋体" w:hAnsi="宋体"/>
                <w:color w:val="555555"/>
                <w:kern w:val="0"/>
                <w:sz w:val="20"/>
                <w:szCs w:val="20"/>
              </w:rPr>
              <w:t>100分</w:t>
            </w:r>
          </w:p>
        </w:tc>
        <w:tc>
          <w:tcPr>
            <w:tcW w:w="567"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b/>
                <w:color w:val="000000"/>
                <w:sz w:val="20"/>
                <w:szCs w:val="20"/>
              </w:rPr>
            </w:pPr>
            <w:r>
              <w:rPr>
                <w:rFonts w:hint="eastAsia" w:ascii="宋体" w:hAnsi="宋体"/>
                <w:b/>
                <w:color w:val="000000"/>
                <w:kern w:val="0"/>
                <w:sz w:val="20"/>
                <w:szCs w:val="20"/>
              </w:rPr>
              <w:t>较重扣分情形</w:t>
            </w: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28</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不在指定平台发布公告且未按法律法规规定格式发布招标公告信息；</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每发现一次扣8分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各级公共资源交易管理机构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29</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设有最高投标限价，不在招标文件中明确最高投标限价或者最高投标限价的计算方法，最高投标限价随意下调或上浮。在招标文件中设置最低限价，导致价格无法充分竞争；</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每发现一次扣8分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30</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向投标（资格预审申请）人收取招标（资格预审）文件、图纸等不应当收取的费用；</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每发现一次扣8分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31</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对已发出的资格预审文件或者招标文件进行必要的澄清或者修改，澄清或者修改的内容可能影响资格预审申请文件或者投标文件编制、提交资格预审申请文件截止时间不足3日或者投标截止时间不足15日且不相应延期的；</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每发现一次扣8分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32</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评标结果不按规定时限公示，公示内容（如中标候选人名称、排序和其他信息等）错误或不完整；</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每发现一次扣8分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33</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项目办理容缺手续，未按承诺期限补齐相关资料的；</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每发现一次扣8分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34</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私拉滥雇，使用非机构自有人员从事招标代理业务；</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每发现一次扣8分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35</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同一招标项目向潜在投标人或者投标人提供有差别限制、排斥潜在的项目信息；</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每发现一次扣8分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36</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设定的资格、技术、商务条件与招标项目的具体特点和实际需要不相适应或者与合同履行无关；</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每发现一次扣8分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37</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依法必须进行招标的项目以特定行政区域或者特定行业的业绩、奖项作为加分条件或者中标条件；</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每发现一次扣8分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38</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对潜在投标人或者投标人采取不同的资格审查或者评标标准；</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每发现一次扣8分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39</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限定或者指定特定的专利、商标、品牌、原产地或者供应商。参照品牌少于三种、市场价格不在同一档次和未进行价格分析推荐价格差距悬殊大的作为参照品牌；</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每发现一次扣8分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40</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依法必须进行招标的项目非法限定潜在投标人，非法限定投标人的所有制形式或者组织形式；</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每发现一次扣8分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41</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 xml:space="preserve">以其他不合理条件限制、排斥潜在投标人或者投标人；  </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每发现一次扣8分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42</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中标通知书发出后，未及时督促中标人在规定的时间内签订合同；未及时网上发布中标结果公告或填报合同履约信息；</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每发现一次扣8分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43</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当终止招标时，不及时发布公告、未及时通知被邀请的投标人或者已经获取资格预审文件、招标文件的潜在投标人；</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每发现一次扣8分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140分</w:t>
            </w:r>
          </w:p>
        </w:tc>
        <w:tc>
          <w:tcPr>
            <w:tcW w:w="567"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b/>
                <w:color w:val="000000"/>
                <w:sz w:val="20"/>
                <w:szCs w:val="20"/>
              </w:rPr>
            </w:pPr>
            <w:r>
              <w:rPr>
                <w:rFonts w:hint="eastAsia" w:ascii="宋体" w:hAnsi="宋体"/>
                <w:b/>
                <w:color w:val="000000"/>
                <w:kern w:val="0"/>
                <w:sz w:val="20"/>
                <w:szCs w:val="20"/>
              </w:rPr>
              <w:t>严重扣分情形</w:t>
            </w: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44</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以给予回扣、恶意压低收费等方式进行不正当竞争。代理服务费用由中标人支付的，未在代理项目的招标文件中明确或未明确费用金额或未进行单独列支等情况的；</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每发现一次扣14分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各级公共资源交易管理机构、行业主管部门、行政监督部门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45</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组织单个或者部分潜在投标人踏勘项目现场；</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每发现一次扣14分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46</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明知招标人委托事项违法未明确告知招标人而继续进行代理的；</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每发现一次扣14分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47</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向他人透露已获取招标文件的潜在投标人的名称、数量或者影响公平竞争的有关招标投标的其他情况；</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每发现一次扣14分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48</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强制要求投标人组成联合体共同投标，或故意设置多资质不接受联合体作为资格条件，为潜在少数投标人提供便利；</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每发现一次扣14分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49</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擅自提高投标保证金或履约保证金额，要求执行相关政策执行不到位或不执行的；</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每发现一次扣14分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50</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接受了依法应当拒收的资格预审申请文件、投标文件；</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每发现一次扣14分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51</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不按项目审批、核准所确定的招标范围、招标方式、招标组织形式进行招标；</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每发现一次扣14分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52</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借用他人营业证照或者出租、出借或者以其他形式非法转让营业证照；</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每发现一次扣14分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53</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不按照招标文件规定的时间、地点开标、评标，有特殊情未说明理由的；</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每发现一次扣14分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54</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向资格审查委员会、评标委员会成员明示或者暗示其倾向或者排斥特定投标人的意向；</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每发现一次扣14分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55</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透露对投标文件的评审和比较、中标候选人的推荐情况以及与评标有关的其他情况；</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每发现一次扣14分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56</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擅自中止、终止招标；</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每发现一次扣14分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57</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未经招标人书面同意，擅自修改资格预审文件、招标文件；</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每发现一次扣14分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58</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拒绝接受或不配合综合监管部门、行业主管部门开展的调查、工作检查、考核，或在调查、工作检查、考核中隐瞒有关情况，或提供虚假材料；</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每发现一次扣14分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59</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发布的信息有误，被政府网站等管理部门纠错曝光或者造成其他不良影响；</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每发现一次扣14分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60</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开标、评标（审）环节中，因招标代理机构编制招标文件有误等原因影响开评标工作，导致无法正常进行甚至重新招标；</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每发现一次扣14分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61</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因代理机构自身原因连续两次以上（含两次）延期开标；</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每发现一次扣14分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62</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发出的澄清文件对招标文件范本内容作了实质性修改或明显违反法律法规规定；</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每发现一次扣14分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63</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招标项目被纪委或审计单位移交查办属于招标代理机构原因导致的；</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每发现一次扣14分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64</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泄露应当保密的信息以及隐匿、销毁应当保存的文件资料或者伪造、变更文件资料；</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每发现一次扣14分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atLeast"/>
        </w:trPr>
        <w:tc>
          <w:tcPr>
            <w:tcW w:w="1135" w:type="dxa"/>
            <w:vMerge w:val="restart"/>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sz w:val="20"/>
                <w:szCs w:val="20"/>
              </w:rPr>
              <w:t>250分</w:t>
            </w:r>
          </w:p>
        </w:tc>
        <w:tc>
          <w:tcPr>
            <w:tcW w:w="567"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b/>
                <w:color w:val="000000"/>
                <w:sz w:val="20"/>
                <w:szCs w:val="20"/>
              </w:rPr>
            </w:pPr>
            <w:r>
              <w:rPr>
                <w:rFonts w:hint="eastAsia" w:ascii="宋体" w:hAnsi="宋体"/>
                <w:b/>
                <w:color w:val="000000"/>
                <w:kern w:val="0"/>
                <w:sz w:val="20"/>
                <w:szCs w:val="20"/>
              </w:rPr>
              <w:t>特别严重扣分情形</w:t>
            </w: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65</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与招标人、投标人串通损害国家利益、社会公共利益或者他人合法权益；</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每发现一次扣30分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各级公共资源交易管理机构行业主管部门、行政监督部门提供，由市公管办统一计分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2"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66</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在开标前开启投标文件并将有关信息泄露给其他投标人；</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每发现一次扣30分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5"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67</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直接或者间接向投标人泄露标底、评标委员会成员等信息；</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每发现一次扣30分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68</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 xml:space="preserve">明示或者暗示投标人压低或者提高投标报价，明示或者暗示投标人为特定投标人中标提供方便；  </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每发现一次扣30分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2"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69</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授意投标人撤换、修改投标文件；</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每发现一次扣30分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70</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与所代理招标项目的招标人或潜在投标人有隶属关系、合作经营关系以及其他直接利益关系；</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每发现一次扣30分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3"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71</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与招标人为谋求特定投标人中标而采取的其他串通行为；</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每发现一次扣30分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72</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已选定中标人或者已签合同或工程已进场施工，后补办招标过程及手续；</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每发现一次扣30分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73</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采取行贿、提供回扣或者给予其他不正当利益以及采用弄虚作假、诋毁他人等不正当手段承接工程招标代理业务；</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每发现一次扣30分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3"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74</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有被监管部门或者相关行业主管部门查处的违法违规行为的；</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每发现一次扣30分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7"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75</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招标代理过程，发现其他违法行为的；</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每发现一次扣30分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b/>
                <w:color w:val="000000"/>
                <w:kern w:val="0"/>
                <w:sz w:val="20"/>
                <w:szCs w:val="20"/>
              </w:rPr>
            </w:pPr>
            <w:r>
              <w:rPr>
                <w:rFonts w:hint="eastAsia" w:ascii="宋体" w:hAnsi="宋体"/>
                <w:b/>
                <w:color w:val="000000"/>
                <w:kern w:val="0"/>
                <w:sz w:val="20"/>
                <w:szCs w:val="20"/>
              </w:rPr>
              <w:t>良好行为</w:t>
            </w:r>
          </w:p>
          <w:p>
            <w:pPr>
              <w:widowControl/>
              <w:jc w:val="center"/>
              <w:textAlignment w:val="center"/>
              <w:rPr>
                <w:rFonts w:ascii="宋体" w:hAnsi="宋体"/>
                <w:b/>
                <w:color w:val="000000"/>
                <w:sz w:val="20"/>
                <w:szCs w:val="20"/>
              </w:rPr>
            </w:pPr>
            <w:r>
              <w:rPr>
                <w:rFonts w:hint="eastAsia" w:ascii="宋体" w:hAnsi="宋体"/>
                <w:b/>
                <w:color w:val="000000"/>
                <w:kern w:val="0"/>
                <w:sz w:val="20"/>
                <w:szCs w:val="20"/>
              </w:rPr>
              <w:t>（300分）</w:t>
            </w:r>
          </w:p>
        </w:tc>
        <w:tc>
          <w:tcPr>
            <w:tcW w:w="567"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100分</w:t>
            </w:r>
          </w:p>
        </w:tc>
        <w:tc>
          <w:tcPr>
            <w:tcW w:w="1219" w:type="dxa"/>
            <w:gridSpan w:val="2"/>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555555"/>
                <w:sz w:val="20"/>
                <w:szCs w:val="20"/>
              </w:rPr>
            </w:pPr>
            <w:r>
              <w:rPr>
                <w:rFonts w:hint="eastAsia" w:ascii="仿宋_GB2312" w:hAnsi="宋体" w:eastAsia="仿宋_GB2312" w:cs="仿宋_GB2312"/>
                <w:b/>
                <w:color w:val="000000"/>
                <w:kern w:val="0"/>
                <w:sz w:val="20"/>
                <w:szCs w:val="20"/>
              </w:rPr>
              <w:t>业主评价</w:t>
            </w:r>
          </w:p>
        </w:tc>
        <w:tc>
          <w:tcPr>
            <w:tcW w:w="6152" w:type="dxa"/>
            <w:vMerge w:val="restart"/>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555555"/>
                <w:szCs w:val="21"/>
              </w:rPr>
            </w:pPr>
            <w:r>
              <w:rPr>
                <w:rFonts w:hint="eastAsia" w:ascii="仿宋_GB2312" w:hAnsi="宋体" w:eastAsia="仿宋_GB2312" w:cs="仿宋_GB2312"/>
                <w:color w:val="000000"/>
                <w:kern w:val="0"/>
                <w:szCs w:val="21"/>
              </w:rPr>
              <w:t>对委托代理项目整体满意度（代理服务率、绩效率、编制招标文件和工程量清单（控制价）的质量、对项目进行分析和研究、对专用合同条款的合理设定等内容）进行综合评价；</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满意加100</w:t>
            </w:r>
          </w:p>
        </w:tc>
        <w:tc>
          <w:tcPr>
            <w:tcW w:w="1470"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每季度代理所有项目的业主评价分的平均分</w:t>
            </w:r>
          </w:p>
        </w:tc>
        <w:tc>
          <w:tcPr>
            <w:tcW w:w="1412"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委托代理</w:t>
            </w:r>
          </w:p>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的项目业主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1219" w:type="dxa"/>
            <w:gridSpan w:val="2"/>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b/>
                <w:color w:val="555555"/>
                <w:sz w:val="20"/>
                <w:szCs w:val="20"/>
              </w:rPr>
            </w:pPr>
          </w:p>
        </w:tc>
        <w:tc>
          <w:tcPr>
            <w:tcW w:w="615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Cs w:val="21"/>
              </w:rPr>
            </w:pP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较满意加80</w:t>
            </w:r>
          </w:p>
        </w:tc>
        <w:tc>
          <w:tcPr>
            <w:tcW w:w="1470"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1219" w:type="dxa"/>
            <w:gridSpan w:val="2"/>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b/>
                <w:color w:val="555555"/>
                <w:sz w:val="20"/>
                <w:szCs w:val="20"/>
              </w:rPr>
            </w:pPr>
          </w:p>
        </w:tc>
        <w:tc>
          <w:tcPr>
            <w:tcW w:w="615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Cs w:val="21"/>
              </w:rPr>
            </w:pP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一般加60</w:t>
            </w:r>
          </w:p>
        </w:tc>
        <w:tc>
          <w:tcPr>
            <w:tcW w:w="1470"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100分</w:t>
            </w:r>
          </w:p>
        </w:tc>
        <w:tc>
          <w:tcPr>
            <w:tcW w:w="1219" w:type="dxa"/>
            <w:gridSpan w:val="2"/>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kern w:val="0"/>
                <w:sz w:val="20"/>
                <w:szCs w:val="20"/>
              </w:rPr>
              <w:t>代理业绩</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根据代理数量（按季度内提交的招标投标进场代理业绩数量）每季度内完成招标项目20个的得100分；</w:t>
            </w:r>
          </w:p>
        </w:tc>
        <w:tc>
          <w:tcPr>
            <w:tcW w:w="3280" w:type="dxa"/>
            <w:gridSpan w:val="2"/>
            <w:vMerge w:val="restart"/>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Z=T1/T2*100；Z：指本季度代理业绩得分；T1：指本季度代理业绩数量或代理业绩中标总金额；T2：指代理招标项目20个或代理中标总金额20亿。说明：在本季度内按产生的项目数或金额根据公式计分，最高得分100分，未进行项目代理的不作评分。</w:t>
            </w:r>
          </w:p>
        </w:tc>
        <w:tc>
          <w:tcPr>
            <w:tcW w:w="1412"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市公管办统一计分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1219" w:type="dxa"/>
            <w:gridSpan w:val="2"/>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b/>
                <w:color w:val="000000"/>
                <w:sz w:val="20"/>
                <w:szCs w:val="20"/>
              </w:rPr>
            </w:pP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根据代理金额（按季度内提交的招标投标进场代理业绩中标总金额）每季度内完成招标项目中标总金额20亿得100分；</w:t>
            </w:r>
          </w:p>
        </w:tc>
        <w:tc>
          <w:tcPr>
            <w:tcW w:w="3280" w:type="dxa"/>
            <w:gridSpan w:val="2"/>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Cs w:val="21"/>
              </w:rPr>
            </w:pP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50分</w:t>
            </w:r>
          </w:p>
        </w:tc>
        <w:tc>
          <w:tcPr>
            <w:tcW w:w="1219" w:type="dxa"/>
            <w:gridSpan w:val="2"/>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kern w:val="0"/>
                <w:sz w:val="20"/>
                <w:szCs w:val="20"/>
              </w:rPr>
              <w:t>社会责任</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对招标事项提出合理化修改意见被采纳的；</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加10分</w:t>
            </w:r>
          </w:p>
        </w:tc>
        <w:tc>
          <w:tcPr>
            <w:tcW w:w="1470"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累计得分，最多得50分(同一事项按最高计分）</w:t>
            </w:r>
          </w:p>
        </w:tc>
        <w:tc>
          <w:tcPr>
            <w:tcW w:w="1412"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各级公共资源交易管理机构出具证明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1219" w:type="dxa"/>
            <w:gridSpan w:val="2"/>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b/>
                <w:color w:val="000000"/>
                <w:sz w:val="20"/>
                <w:szCs w:val="20"/>
              </w:rPr>
            </w:pP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有效制止重大违法违规行为发生或提供项目实施过程中违法违规有效线索的；</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加10分</w:t>
            </w:r>
          </w:p>
        </w:tc>
        <w:tc>
          <w:tcPr>
            <w:tcW w:w="1470"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1219" w:type="dxa"/>
            <w:gridSpan w:val="2"/>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b/>
                <w:color w:val="000000"/>
                <w:sz w:val="20"/>
                <w:szCs w:val="20"/>
              </w:rPr>
            </w:pP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在公开发行的杂志、有关专业官方网站、期刊上（有刊号）发表上每发表1篇与工程招标相关的论文；</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加10分</w:t>
            </w:r>
          </w:p>
        </w:tc>
        <w:tc>
          <w:tcPr>
            <w:tcW w:w="1470"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6"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1219" w:type="dxa"/>
            <w:gridSpan w:val="2"/>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b/>
                <w:color w:val="000000"/>
                <w:sz w:val="20"/>
                <w:szCs w:val="20"/>
              </w:rPr>
            </w:pP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在</w:t>
            </w:r>
            <w:r>
              <w:rPr>
                <w:rFonts w:hint="eastAsia" w:ascii="仿宋_GB2312" w:hAnsi="宋体" w:eastAsia="仿宋_GB2312" w:cs="仿宋_GB2312"/>
                <w:kern w:val="0"/>
                <w:szCs w:val="21"/>
              </w:rPr>
              <w:t>全市范围</w:t>
            </w:r>
            <w:r>
              <w:rPr>
                <w:rFonts w:hint="eastAsia" w:ascii="仿宋_GB2312" w:hAnsi="宋体" w:eastAsia="仿宋_GB2312" w:cs="仿宋_GB2312"/>
                <w:color w:val="000000"/>
                <w:kern w:val="0"/>
                <w:szCs w:val="21"/>
              </w:rPr>
              <w:t>连续10个进场交易项目未扣分的；</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加10分</w:t>
            </w:r>
          </w:p>
        </w:tc>
        <w:tc>
          <w:tcPr>
            <w:tcW w:w="1470"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1219" w:type="dxa"/>
            <w:gridSpan w:val="2"/>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b/>
                <w:color w:val="000000"/>
                <w:sz w:val="20"/>
                <w:szCs w:val="20"/>
              </w:rPr>
            </w:pP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公益活动（如在湖州市范围内参与救灾、物资捐赠、助教、慈善公益宣传、企业履行节能减排、保护环境、资源保护责任、垃圾分类等活动）；</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加10分</w:t>
            </w:r>
          </w:p>
        </w:tc>
        <w:tc>
          <w:tcPr>
            <w:tcW w:w="1470"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3"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50分</w:t>
            </w:r>
          </w:p>
        </w:tc>
        <w:tc>
          <w:tcPr>
            <w:tcW w:w="1219" w:type="dxa"/>
            <w:gridSpan w:val="2"/>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kern w:val="0"/>
                <w:sz w:val="20"/>
                <w:szCs w:val="20"/>
              </w:rPr>
            </w:pPr>
            <w:r>
              <w:rPr>
                <w:rFonts w:hint="eastAsia" w:ascii="仿宋_GB2312" w:hAnsi="宋体" w:eastAsia="仿宋_GB2312" w:cs="仿宋_GB2312"/>
                <w:b/>
                <w:color w:val="000000"/>
                <w:kern w:val="0"/>
                <w:sz w:val="20"/>
                <w:szCs w:val="20"/>
              </w:rPr>
              <w:t xml:space="preserve">企业奖励 </w:t>
            </w:r>
          </w:p>
          <w:p>
            <w:pPr>
              <w:widowControl/>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kern w:val="0"/>
                <w:sz w:val="20"/>
                <w:szCs w:val="20"/>
              </w:rPr>
              <w:t>信 息</w:t>
            </w: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近三年受到国家级相关主管部门通报表扬或奖励的；</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加50分</w:t>
            </w:r>
          </w:p>
        </w:tc>
        <w:tc>
          <w:tcPr>
            <w:tcW w:w="1470"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累计得分，最多得50分(同一事项按最高计分，不同事项可累计加分)</w:t>
            </w:r>
          </w:p>
        </w:tc>
        <w:tc>
          <w:tcPr>
            <w:tcW w:w="1412"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企业通过电子系统自行申报，市公管办负责审核（奖励信息以奖项的发文时间开始计，发文之日起三年内有效加分）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3"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1219" w:type="dxa"/>
            <w:gridSpan w:val="2"/>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b/>
                <w:color w:val="000000"/>
                <w:sz w:val="20"/>
                <w:szCs w:val="20"/>
              </w:rPr>
            </w:pPr>
          </w:p>
        </w:tc>
        <w:tc>
          <w:tcPr>
            <w:tcW w:w="615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近三年受到省级相关主管部门通报表扬或奖励的；</w:t>
            </w:r>
          </w:p>
        </w:tc>
        <w:tc>
          <w:tcPr>
            <w:tcW w:w="181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加40分</w:t>
            </w:r>
          </w:p>
        </w:tc>
        <w:tc>
          <w:tcPr>
            <w:tcW w:w="1470"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1"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1219" w:type="dxa"/>
            <w:gridSpan w:val="2"/>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b/>
                <w:color w:val="000000"/>
                <w:sz w:val="20"/>
                <w:szCs w:val="20"/>
              </w:rPr>
            </w:pPr>
          </w:p>
        </w:tc>
        <w:tc>
          <w:tcPr>
            <w:tcW w:w="6152" w:type="dxa"/>
            <w:tcBorders>
              <w:bottom w:val="single" w:color="auto" w:sz="4" w:space="0"/>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近三年受到</w:t>
            </w:r>
            <w:r>
              <w:rPr>
                <w:rFonts w:hint="eastAsia" w:ascii="宋体" w:hAnsi="宋体"/>
                <w:color w:val="000000"/>
                <w:kern w:val="0"/>
                <w:szCs w:val="21"/>
              </w:rPr>
              <w:t>县</w:t>
            </w:r>
            <w:r>
              <w:rPr>
                <w:rFonts w:hint="eastAsia" w:ascii="仿宋_GB2312" w:hAnsi="宋体" w:eastAsia="仿宋_GB2312" w:cs="仿宋_GB2312"/>
                <w:color w:val="000000"/>
                <w:kern w:val="0"/>
                <w:szCs w:val="21"/>
              </w:rPr>
              <w:t>市级相关主管部门通报表扬或奖励的；</w:t>
            </w:r>
          </w:p>
        </w:tc>
        <w:tc>
          <w:tcPr>
            <w:tcW w:w="1810" w:type="dxa"/>
            <w:tcBorders>
              <w:bottom w:val="single" w:color="auto" w:sz="4" w:space="0"/>
              <w:tl2br w:val="nil"/>
              <w:tr2bl w:val="nil"/>
            </w:tcBorders>
            <w:shd w:val="clear" w:color="auto" w:fill="FFFFFF"/>
            <w:tcMar>
              <w:top w:w="15" w:type="dxa"/>
              <w:left w:w="15" w:type="dxa"/>
              <w:right w:w="15" w:type="dxa"/>
            </w:tcMar>
            <w:vAlign w:val="center"/>
          </w:tcPr>
          <w:p>
            <w:pPr>
              <w:widowControl/>
              <w:ind w:firstLine="420" w:firstLineChars="200"/>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加20分</w:t>
            </w:r>
          </w:p>
        </w:tc>
        <w:tc>
          <w:tcPr>
            <w:tcW w:w="1470"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1"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1219" w:type="dxa"/>
            <w:gridSpan w:val="2"/>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b/>
                <w:color w:val="000000"/>
                <w:sz w:val="20"/>
                <w:szCs w:val="20"/>
              </w:rPr>
            </w:pPr>
          </w:p>
        </w:tc>
        <w:tc>
          <w:tcPr>
            <w:tcW w:w="6152" w:type="dxa"/>
            <w:tcBorders>
              <w:top w:val="single" w:color="auto" w:sz="4" w:space="0"/>
              <w:tl2br w:val="nil"/>
              <w:tr2bl w:val="nil"/>
            </w:tcBorders>
            <w:shd w:val="clear" w:color="auto" w:fill="FFFFFF"/>
            <w:tcMar>
              <w:top w:w="15" w:type="dxa"/>
              <w:left w:w="15" w:type="dxa"/>
              <w:right w:w="15" w:type="dxa"/>
            </w:tcMar>
            <w:vAlign w:val="center"/>
          </w:tcPr>
          <w:p>
            <w:pPr>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近三年受到相关协会等其他部门通报表扬或奖励的；</w:t>
            </w:r>
          </w:p>
        </w:tc>
        <w:tc>
          <w:tcPr>
            <w:tcW w:w="1810" w:type="dxa"/>
            <w:tcBorders>
              <w:top w:val="single" w:color="auto" w:sz="4" w:space="0"/>
              <w:tl2br w:val="nil"/>
              <w:tr2bl w:val="nil"/>
            </w:tcBorders>
            <w:shd w:val="clear" w:color="auto" w:fill="FFFFFF"/>
            <w:tcMar>
              <w:top w:w="15" w:type="dxa"/>
              <w:left w:w="15" w:type="dxa"/>
              <w:right w:w="15" w:type="dxa"/>
            </w:tcMar>
            <w:vAlign w:val="center"/>
          </w:tcPr>
          <w:p>
            <w:pPr>
              <w:ind w:firstLine="445" w:firstLineChars="212"/>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加10分</w:t>
            </w:r>
          </w:p>
        </w:tc>
        <w:tc>
          <w:tcPr>
            <w:tcW w:w="1470"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bl>
    <w:p>
      <w:pPr>
        <w:widowControl/>
        <w:shd w:val="clear" w:color="auto" w:fill="FFFFFF"/>
        <w:spacing w:line="520" w:lineRule="exact"/>
        <w:ind w:firstLine="547" w:firstLineChars="228"/>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注：日常考核按照“一事一评”，代理机构在实施招标代理业务时，发现有违反上述评价标准指标，按发生事项进行扣分，</w:t>
      </w:r>
      <w:r>
        <w:rPr>
          <w:rFonts w:hint="eastAsia" w:ascii="仿宋_GB2312" w:hAnsi="仿宋_GB2312" w:eastAsia="仿宋_GB2312" w:cs="仿宋_GB2312"/>
          <w:sz w:val="24"/>
          <w:szCs w:val="24"/>
        </w:rPr>
        <w:t>同时对代理项目的项目负责人进行扣分，</w:t>
      </w:r>
      <w:r>
        <w:rPr>
          <w:rFonts w:hint="eastAsia" w:ascii="仿宋_GB2312" w:hAnsi="仿宋_GB2312" w:eastAsia="仿宋_GB2312" w:cs="仿宋_GB2312"/>
          <w:color w:val="000000"/>
          <w:kern w:val="0"/>
          <w:sz w:val="24"/>
          <w:szCs w:val="24"/>
        </w:rPr>
        <w:t>辅助人员（其他从业人员）按项目负责人扣分总值的</w:t>
      </w:r>
      <w:r>
        <w:rPr>
          <w:rFonts w:ascii="仿宋_GB2312" w:hAnsi="仿宋_GB2312" w:eastAsia="仿宋_GB2312" w:cs="仿宋_GB2312"/>
          <w:color w:val="000000"/>
          <w:kern w:val="0"/>
          <w:sz w:val="24"/>
          <w:szCs w:val="24"/>
        </w:rPr>
        <w:t>50%计</w:t>
      </w:r>
      <w:r>
        <w:rPr>
          <w:rFonts w:hint="eastAsia" w:ascii="仿宋_GB2312" w:hAnsi="仿宋_GB2312" w:eastAsia="仿宋_GB2312" w:cs="仿宋_GB2312"/>
          <w:color w:val="000000"/>
          <w:kern w:val="0"/>
          <w:sz w:val="24"/>
          <w:szCs w:val="24"/>
        </w:rPr>
        <w:t>算。代理同一项目同一事项发生在不同过程、节点的可重复扣分</w:t>
      </w:r>
      <w:r>
        <w:rPr>
          <w:rFonts w:ascii="仿宋_GB2312" w:hAnsi="仿宋_GB2312" w:eastAsia="仿宋_GB2312" w:cs="仿宋_GB2312"/>
          <w:color w:val="000000"/>
          <w:kern w:val="0"/>
          <w:sz w:val="24"/>
          <w:szCs w:val="24"/>
        </w:rPr>
        <w:t>。</w:t>
      </w:r>
    </w:p>
    <w:p>
      <w:pPr>
        <w:widowControl/>
        <w:shd w:val="clear" w:color="auto" w:fill="FFFFFF"/>
        <w:spacing w:line="600" w:lineRule="exact"/>
        <w:rPr>
          <w:rFonts w:ascii="仿宋_GB2312" w:hAnsi="仿宋_GB2312" w:eastAsia="仿宋_GB2312" w:cs="仿宋_GB2312"/>
          <w:color w:val="000000"/>
          <w:kern w:val="0"/>
          <w:sz w:val="28"/>
          <w:szCs w:val="32"/>
        </w:rPr>
      </w:pPr>
    </w:p>
    <w:p>
      <w:pPr>
        <w:widowControl/>
        <w:shd w:val="clear" w:color="auto" w:fill="FFFFFF"/>
        <w:spacing w:line="600" w:lineRule="exact"/>
        <w:rPr>
          <w:rFonts w:ascii="仿宋_GB2312" w:hAnsi="仿宋_GB2312" w:eastAsia="仿宋_GB2312" w:cs="仿宋_GB2312"/>
          <w:color w:val="000000"/>
          <w:kern w:val="0"/>
          <w:sz w:val="28"/>
          <w:szCs w:val="32"/>
        </w:rPr>
      </w:pPr>
    </w:p>
    <w:p>
      <w:pPr>
        <w:widowControl/>
        <w:shd w:val="clear" w:color="auto" w:fill="FFFFFF"/>
        <w:spacing w:line="600" w:lineRule="exact"/>
        <w:rPr>
          <w:rFonts w:ascii="仿宋_GB2312" w:hAnsi="仿宋_GB2312" w:eastAsia="仿宋_GB2312" w:cs="仿宋_GB2312"/>
          <w:color w:val="000000"/>
          <w:kern w:val="0"/>
          <w:sz w:val="28"/>
          <w:szCs w:val="32"/>
        </w:rPr>
      </w:pPr>
    </w:p>
    <w:p>
      <w:pPr>
        <w:widowControl/>
        <w:shd w:val="clear" w:color="auto" w:fill="FFFFFF"/>
        <w:spacing w:line="600" w:lineRule="exact"/>
        <w:rPr>
          <w:rFonts w:ascii="仿宋_GB2312" w:hAnsi="仿宋_GB2312" w:eastAsia="仿宋_GB2312" w:cs="仿宋_GB2312"/>
          <w:color w:val="000000"/>
          <w:kern w:val="0"/>
          <w:sz w:val="28"/>
          <w:szCs w:val="32"/>
        </w:rPr>
      </w:pPr>
    </w:p>
    <w:p>
      <w:pPr>
        <w:widowControl/>
        <w:shd w:val="clear" w:color="auto" w:fill="FFFFFF"/>
        <w:spacing w:line="600" w:lineRule="exact"/>
        <w:rPr>
          <w:rFonts w:ascii="仿宋_GB2312" w:hAnsi="仿宋_GB2312" w:eastAsia="仿宋_GB2312" w:cs="仿宋_GB2312"/>
          <w:color w:val="000000"/>
          <w:kern w:val="0"/>
          <w:sz w:val="28"/>
          <w:szCs w:val="32"/>
        </w:rPr>
      </w:pPr>
    </w:p>
    <w:p>
      <w:pPr>
        <w:widowControl/>
        <w:shd w:val="clear" w:color="auto" w:fill="FFFFFF"/>
        <w:spacing w:line="600" w:lineRule="exact"/>
        <w:rPr>
          <w:rFonts w:ascii="仿宋_GB2312" w:hAnsi="仿宋_GB2312" w:eastAsia="仿宋_GB2312" w:cs="仿宋_GB2312"/>
          <w:color w:val="000000"/>
          <w:kern w:val="0"/>
          <w:sz w:val="28"/>
          <w:szCs w:val="32"/>
        </w:rPr>
      </w:pPr>
    </w:p>
    <w:p>
      <w:pPr>
        <w:widowControl/>
        <w:shd w:val="clear" w:color="auto" w:fill="FFFFFF"/>
        <w:spacing w:line="600" w:lineRule="exact"/>
        <w:rPr>
          <w:rFonts w:ascii="仿宋_GB2312" w:hAnsi="仿宋_GB2312" w:eastAsia="仿宋_GB2312" w:cs="仿宋_GB2312"/>
          <w:color w:val="000000"/>
          <w:kern w:val="0"/>
          <w:sz w:val="28"/>
          <w:szCs w:val="32"/>
        </w:rPr>
      </w:pPr>
    </w:p>
    <w:p>
      <w:pPr>
        <w:widowControl/>
        <w:shd w:val="clear" w:color="auto" w:fill="FFFFFF"/>
        <w:spacing w:line="600" w:lineRule="exact"/>
        <w:rPr>
          <w:rFonts w:ascii="仿宋_GB2312" w:hAnsi="仿宋_GB2312" w:eastAsia="仿宋_GB2312" w:cs="仿宋_GB2312"/>
          <w:color w:val="000000"/>
          <w:kern w:val="0"/>
          <w:sz w:val="28"/>
          <w:szCs w:val="32"/>
        </w:rPr>
      </w:pPr>
    </w:p>
    <w:p>
      <w:pPr>
        <w:widowControl/>
        <w:shd w:val="clear" w:color="auto" w:fill="FFFFFF"/>
        <w:spacing w:line="600" w:lineRule="exact"/>
        <w:rPr>
          <w:rFonts w:ascii="仿宋_GB2312" w:hAnsi="仿宋_GB2312" w:eastAsia="仿宋_GB2312" w:cs="仿宋_GB2312"/>
          <w:color w:val="000000"/>
          <w:kern w:val="0"/>
          <w:sz w:val="28"/>
          <w:szCs w:val="32"/>
        </w:rPr>
      </w:pPr>
    </w:p>
    <w:p>
      <w:pPr>
        <w:spacing w:line="600" w:lineRule="exact"/>
        <w:outlineLvl w:val="0"/>
        <w:rPr>
          <w:rFonts w:ascii="黑体" w:hAnsi="黑体" w:eastAsia="黑体" w:cs="黑体"/>
          <w:color w:val="000000"/>
          <w:kern w:val="0"/>
          <w:sz w:val="32"/>
          <w:szCs w:val="32"/>
        </w:rPr>
      </w:pPr>
      <w:r>
        <w:rPr>
          <w:rFonts w:hint="eastAsia" w:ascii="黑体" w:hAnsi="黑体" w:eastAsia="黑体" w:cs="黑体"/>
          <w:color w:val="000000"/>
          <w:kern w:val="0"/>
          <w:sz w:val="32"/>
          <w:szCs w:val="32"/>
        </w:rPr>
        <w:t>附件2</w:t>
      </w:r>
    </w:p>
    <w:p>
      <w:pPr>
        <w:spacing w:line="600" w:lineRule="exact"/>
        <w:jc w:val="center"/>
        <w:outlineLvl w:val="0"/>
        <w:rPr>
          <w:sz w:val="44"/>
          <w:szCs w:val="44"/>
        </w:rPr>
      </w:pPr>
      <w:r>
        <w:rPr>
          <w:rFonts w:hint="eastAsia" w:ascii="方正小标宋简体" w:hAnsi="方正小标宋简体" w:eastAsia="方正小标宋简体" w:cs="方正小标宋简体"/>
          <w:color w:val="000000"/>
          <w:kern w:val="0"/>
          <w:sz w:val="44"/>
          <w:szCs w:val="44"/>
        </w:rPr>
        <w:t>湖州市招标代理机构从业人员信用评价标准（试行）</w:t>
      </w:r>
    </w:p>
    <w:tbl>
      <w:tblPr>
        <w:tblStyle w:val="10"/>
        <w:tblW w:w="139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5"/>
        <w:gridCol w:w="567"/>
        <w:gridCol w:w="567"/>
        <w:gridCol w:w="567"/>
        <w:gridCol w:w="6492"/>
        <w:gridCol w:w="1718"/>
        <w:gridCol w:w="1536"/>
        <w:gridCol w:w="13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blHeader/>
        </w:trPr>
        <w:tc>
          <w:tcPr>
            <w:tcW w:w="1135"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黑体" w:hAnsi="宋体" w:eastAsia="黑体" w:cs="黑体"/>
                <w:b/>
                <w:color w:val="000000"/>
                <w:sz w:val="24"/>
                <w:szCs w:val="24"/>
              </w:rPr>
            </w:pPr>
            <w:r>
              <w:rPr>
                <w:rFonts w:hint="eastAsia" w:ascii="黑体" w:hAnsi="宋体" w:eastAsia="黑体" w:cs="黑体"/>
                <w:b/>
                <w:color w:val="000000"/>
                <w:kern w:val="0"/>
                <w:sz w:val="24"/>
                <w:szCs w:val="24"/>
              </w:rPr>
              <w:t>一级指标</w:t>
            </w:r>
            <w:r>
              <w:rPr>
                <w:rFonts w:hint="eastAsia" w:ascii="黑体" w:hAnsi="宋体" w:eastAsia="黑体" w:cs="黑体"/>
                <w:b/>
                <w:color w:val="000000"/>
                <w:kern w:val="0"/>
                <w:sz w:val="24"/>
                <w:szCs w:val="24"/>
              </w:rPr>
              <w:br w:type="textWrapping"/>
            </w:r>
            <w:r>
              <w:rPr>
                <w:rFonts w:hint="eastAsia" w:ascii="黑体" w:hAnsi="宋体" w:eastAsia="黑体" w:cs="黑体"/>
                <w:b/>
                <w:color w:val="000000"/>
                <w:kern w:val="0"/>
                <w:sz w:val="24"/>
                <w:szCs w:val="24"/>
              </w:rPr>
              <w:t>（权重）</w:t>
            </w: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黑体" w:hAnsi="宋体" w:eastAsia="黑体" w:cs="黑体"/>
                <w:b/>
                <w:color w:val="000000"/>
                <w:sz w:val="24"/>
                <w:szCs w:val="24"/>
              </w:rPr>
            </w:pPr>
            <w:r>
              <w:rPr>
                <w:rFonts w:hint="eastAsia" w:ascii="黑体" w:hAnsi="宋体" w:eastAsia="黑体" w:cs="黑体"/>
                <w:b/>
                <w:color w:val="000000"/>
                <w:kern w:val="0"/>
                <w:sz w:val="24"/>
                <w:szCs w:val="24"/>
              </w:rPr>
              <w:t>权重1000分</w:t>
            </w:r>
          </w:p>
        </w:tc>
        <w:tc>
          <w:tcPr>
            <w:tcW w:w="1134" w:type="dxa"/>
            <w:gridSpan w:val="2"/>
            <w:tcBorders>
              <w:tl2br w:val="nil"/>
              <w:tr2bl w:val="nil"/>
            </w:tcBorders>
            <w:shd w:val="clear" w:color="auto" w:fill="FFFFFF"/>
            <w:tcMar>
              <w:top w:w="15" w:type="dxa"/>
              <w:left w:w="15" w:type="dxa"/>
              <w:right w:w="15" w:type="dxa"/>
            </w:tcMar>
            <w:vAlign w:val="center"/>
          </w:tcPr>
          <w:p>
            <w:pPr>
              <w:widowControl/>
              <w:jc w:val="center"/>
              <w:textAlignment w:val="center"/>
              <w:rPr>
                <w:rFonts w:ascii="黑体" w:hAnsi="宋体" w:eastAsia="黑体" w:cs="黑体"/>
                <w:b/>
                <w:color w:val="000000"/>
                <w:sz w:val="24"/>
                <w:szCs w:val="24"/>
              </w:rPr>
            </w:pPr>
            <w:r>
              <w:rPr>
                <w:rFonts w:hint="eastAsia" w:ascii="黑体" w:hAnsi="宋体" w:eastAsia="黑体" w:cs="黑体"/>
                <w:b/>
                <w:color w:val="000000"/>
                <w:kern w:val="0"/>
                <w:sz w:val="24"/>
                <w:szCs w:val="24"/>
              </w:rPr>
              <w:t>二级指标</w:t>
            </w:r>
          </w:p>
        </w:tc>
        <w:tc>
          <w:tcPr>
            <w:tcW w:w="649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黑体" w:hAnsi="宋体" w:eastAsia="黑体" w:cs="黑体"/>
                <w:b/>
                <w:color w:val="000000"/>
                <w:sz w:val="22"/>
              </w:rPr>
            </w:pPr>
            <w:r>
              <w:rPr>
                <w:rFonts w:hint="eastAsia" w:ascii="黑体" w:hAnsi="宋体" w:eastAsia="黑体" w:cs="黑体"/>
                <w:b/>
                <w:color w:val="000000"/>
                <w:kern w:val="0"/>
                <w:sz w:val="22"/>
              </w:rPr>
              <w:t>评价标准</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黑体" w:hAnsi="宋体" w:eastAsia="黑体" w:cs="黑体"/>
                <w:b/>
                <w:color w:val="000000"/>
                <w:sz w:val="22"/>
              </w:rPr>
            </w:pPr>
            <w:r>
              <w:rPr>
                <w:rFonts w:hint="eastAsia" w:ascii="黑体" w:hAnsi="宋体" w:eastAsia="黑体" w:cs="黑体"/>
                <w:b/>
                <w:color w:val="000000"/>
                <w:kern w:val="0"/>
                <w:sz w:val="22"/>
              </w:rPr>
              <w:t>扣（得）分规则</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黑体" w:hAnsi="宋体" w:eastAsia="黑体" w:cs="黑体"/>
                <w:b/>
                <w:color w:val="000000"/>
                <w:sz w:val="24"/>
                <w:szCs w:val="24"/>
              </w:rPr>
            </w:pPr>
            <w:r>
              <w:rPr>
                <w:rFonts w:hint="eastAsia" w:ascii="黑体" w:hAnsi="宋体" w:eastAsia="黑体" w:cs="黑体"/>
                <w:b/>
                <w:color w:val="000000"/>
                <w:kern w:val="0"/>
                <w:sz w:val="24"/>
                <w:szCs w:val="24"/>
              </w:rPr>
              <w:t>计分方式</w:t>
            </w:r>
          </w:p>
        </w:tc>
        <w:tc>
          <w:tcPr>
            <w:tcW w:w="138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黑体" w:hAnsi="宋体" w:eastAsia="黑体" w:cs="黑体"/>
                <w:b/>
                <w:color w:val="000000"/>
                <w:sz w:val="24"/>
                <w:szCs w:val="24"/>
              </w:rPr>
            </w:pPr>
            <w:r>
              <w:rPr>
                <w:rFonts w:hint="eastAsia" w:ascii="黑体" w:hAnsi="宋体" w:eastAsia="黑体" w:cs="黑体"/>
                <w:b/>
                <w:color w:val="000000"/>
                <w:kern w:val="0"/>
                <w:sz w:val="24"/>
                <w:szCs w:val="24"/>
              </w:rPr>
              <w:t>数据来源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b/>
                <w:color w:val="000000"/>
                <w:kern w:val="0"/>
                <w:sz w:val="20"/>
                <w:szCs w:val="20"/>
              </w:rPr>
            </w:pPr>
            <w:r>
              <w:rPr>
                <w:rFonts w:hint="eastAsia" w:ascii="宋体" w:hAnsi="宋体"/>
                <w:b/>
                <w:color w:val="000000"/>
                <w:kern w:val="0"/>
                <w:sz w:val="20"/>
                <w:szCs w:val="20"/>
              </w:rPr>
              <w:t>基础信息</w:t>
            </w:r>
          </w:p>
          <w:p>
            <w:pPr>
              <w:widowControl/>
              <w:jc w:val="center"/>
              <w:textAlignment w:val="center"/>
              <w:rPr>
                <w:rFonts w:ascii="宋体" w:hAnsi="宋体"/>
                <w:b/>
                <w:color w:val="000000"/>
                <w:sz w:val="20"/>
                <w:szCs w:val="20"/>
              </w:rPr>
            </w:pPr>
            <w:r>
              <w:rPr>
                <w:rFonts w:hint="eastAsia" w:ascii="宋体" w:hAnsi="宋体"/>
                <w:b/>
                <w:color w:val="000000"/>
                <w:kern w:val="0"/>
                <w:sz w:val="20"/>
                <w:szCs w:val="20"/>
              </w:rPr>
              <w:t>（100分）</w:t>
            </w: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100分</w:t>
            </w:r>
          </w:p>
        </w:tc>
        <w:tc>
          <w:tcPr>
            <w:tcW w:w="1134" w:type="dxa"/>
            <w:gridSpan w:val="2"/>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b/>
                <w:color w:val="000000"/>
                <w:sz w:val="20"/>
                <w:szCs w:val="20"/>
              </w:rPr>
            </w:pPr>
            <w:r>
              <w:rPr>
                <w:rFonts w:hint="eastAsia" w:ascii="宋体" w:hAnsi="宋体"/>
                <w:b/>
                <w:color w:val="000000"/>
                <w:kern w:val="0"/>
                <w:sz w:val="20"/>
                <w:szCs w:val="20"/>
              </w:rPr>
              <w:t>综合信用</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个人诚信信用评价（10%）</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以信用办统一计分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以每季度综合评分的汇总当日</w:t>
            </w:r>
          </w:p>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为准</w:t>
            </w:r>
          </w:p>
        </w:tc>
        <w:tc>
          <w:tcPr>
            <w:tcW w:w="138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信用湖州、信用浙江、信用中国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b/>
                <w:color w:val="000000"/>
                <w:sz w:val="20"/>
                <w:szCs w:val="20"/>
              </w:rPr>
            </w:pPr>
            <w:r>
              <w:rPr>
                <w:rFonts w:hint="eastAsia" w:ascii="宋体" w:hAnsi="宋体"/>
                <w:b/>
                <w:color w:val="000000"/>
                <w:sz w:val="20"/>
                <w:szCs w:val="20"/>
              </w:rPr>
              <w:t>日常考核</w:t>
            </w:r>
          </w:p>
          <w:p>
            <w:pPr>
              <w:widowControl/>
              <w:jc w:val="center"/>
              <w:textAlignment w:val="center"/>
              <w:rPr>
                <w:rFonts w:ascii="宋体" w:hAnsi="宋体"/>
                <w:b/>
                <w:color w:val="000000"/>
                <w:sz w:val="20"/>
                <w:szCs w:val="20"/>
              </w:rPr>
            </w:pPr>
            <w:r>
              <w:rPr>
                <w:rFonts w:hint="eastAsia" w:ascii="宋体" w:hAnsi="宋体"/>
                <w:b/>
                <w:color w:val="000000"/>
                <w:sz w:val="20"/>
                <w:szCs w:val="20"/>
              </w:rPr>
              <w:t>（600分）</w:t>
            </w:r>
          </w:p>
        </w:tc>
        <w:tc>
          <w:tcPr>
            <w:tcW w:w="567"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40分</w:t>
            </w:r>
          </w:p>
        </w:tc>
        <w:tc>
          <w:tcPr>
            <w:tcW w:w="567"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b/>
                <w:color w:val="000000"/>
                <w:sz w:val="20"/>
                <w:szCs w:val="20"/>
              </w:rPr>
            </w:pPr>
            <w:r>
              <w:rPr>
                <w:rFonts w:hint="eastAsia" w:ascii="宋体" w:hAnsi="宋体"/>
                <w:b/>
                <w:color w:val="000000"/>
                <w:kern w:val="0"/>
                <w:sz w:val="20"/>
                <w:szCs w:val="20"/>
              </w:rPr>
              <w:t>轻微扣分情形</w:t>
            </w: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代理机构在电子交易平台注册信息不齐全未及时进行更新的；</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每发现一次扣2分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各级公共资源交易管理机构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2</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不按规定使用有关部门制定的标准文本或者示范文本编制资格预审文件、招标文件，擅自修改统一规定内容，且事先未告知招标人、监督备案部门；</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每发现一次扣2分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3</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未按要求发布公告内容，或公告内容不明确，出现关键文字错误；</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每发现一次扣2分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4</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在电子交易平台上未正确录入招标项目登记、公告、标段等信息，已发布到网上；</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每发现一次扣2分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5</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未按规定确定开评标场地、委托投标保证金代收事宜、未按规定时限在电子交易平台申请退还投标保证金；</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每发现一次扣2分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6</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因代理机构自身原因造成开标现场异议、未完整记录开标情况等；</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每发现一次扣2分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7</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投标（资格预审申请）截止时间变更，未同步在系统中预约变更开评标场地；</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每发现一次扣2分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8</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在开评标（审）环节，工作人员未按要求挂牌上岗、不规范着装上岗、到岗迟到30分钟；工作人员数量未达到2人及以上；</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每发现一次扣2分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9</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未经许可进入评标现场，或者经许可进入评标现场但未按规定办理进出登记手续；</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每发现一次扣2分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10</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未及时关闭电脑、空调等设施设备。未及时收集整理开评标现场材料、网上材料随意存放电脑桌面等情况；</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每发现一次扣2分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11</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未按规定发出中标通知书或者发出的中标通知书中的相关内容有错误；</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每发现一次扣2分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555555"/>
                <w:sz w:val="28"/>
                <w:szCs w:val="28"/>
              </w:rPr>
            </w:pPr>
            <w:r>
              <w:rPr>
                <w:rFonts w:hint="eastAsia" w:ascii="宋体" w:hAnsi="宋体"/>
                <w:color w:val="555555"/>
                <w:kern w:val="0"/>
                <w:sz w:val="20"/>
                <w:szCs w:val="20"/>
              </w:rPr>
              <w:t>70分</w:t>
            </w:r>
          </w:p>
        </w:tc>
        <w:tc>
          <w:tcPr>
            <w:tcW w:w="567"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b/>
                <w:color w:val="000000"/>
                <w:kern w:val="0"/>
                <w:sz w:val="20"/>
                <w:szCs w:val="20"/>
              </w:rPr>
            </w:pPr>
            <w:r>
              <w:rPr>
                <w:rFonts w:hint="eastAsia" w:ascii="宋体" w:hAnsi="宋体"/>
                <w:b/>
                <w:color w:val="000000"/>
                <w:kern w:val="0"/>
                <w:sz w:val="20"/>
                <w:szCs w:val="20"/>
              </w:rPr>
              <w:t>一般</w:t>
            </w:r>
          </w:p>
          <w:p>
            <w:pPr>
              <w:widowControl/>
              <w:jc w:val="center"/>
              <w:textAlignment w:val="center"/>
              <w:rPr>
                <w:rFonts w:ascii="宋体" w:hAnsi="宋体"/>
                <w:b/>
                <w:color w:val="000000"/>
                <w:sz w:val="20"/>
                <w:szCs w:val="20"/>
              </w:rPr>
            </w:pPr>
            <w:r>
              <w:rPr>
                <w:rFonts w:hint="eastAsia" w:ascii="宋体" w:hAnsi="宋体"/>
                <w:b/>
                <w:color w:val="000000"/>
                <w:kern w:val="0"/>
                <w:sz w:val="20"/>
                <w:szCs w:val="20"/>
              </w:rPr>
              <w:t>扣分情形</w:t>
            </w: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12</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未作好开标前准备，或非项目负责人或项目组成员主持开标会，组织开标会程序不到位，致使会场秩序混乱；</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每发现一次扣4分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各级公共资源交易管理机构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13</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未依照法定期限发布项目公告信息、完成评标结果公示、中标结果公告、合同备案各手续；</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每发现一次扣4分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14</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评标期间，评标专家、招标人以及代理相关人员未经许可使用通讯工具的或擅自出入评标区的，未及时制止并报告；</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每发现一次扣4分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exac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15</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招标失败后未认真分析招标失败原因，并采取有效措施，再次招标失败；</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每发现一次扣4分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exac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16</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无正当理由不按要求参加相关部门组织的会议、学习和培训；</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每发现一次扣4分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exac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17</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未在规定的时间及时发布或漏发澄清补疑（因招标人的原因或特殊要求的除外）；</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每发现一次扣4分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exac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18</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未及时将交易项目资料（含音视频监控资料）收集、整理归档，移交至招标人或监督部门；</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每发现一次扣4分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exac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19</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开标、评标（审）无法如期进行，在规定的时间内未发布延期通知或未及时取消已预约开评标场地；</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每发现一次扣4分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exac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20</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开标、评标（审）时，电子系统操作不熟练导致出错，影响开评标；未提供规范的开评标相关准备资料或未按要求填写；</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每发现一次扣4分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exac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21</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评标结束当天未及时完成网上数据填报的（如开标记录网上公布等）；</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每发现一次扣4分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exac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22</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招标异常或终止招标后未进入电子交易平台办理招标异常手续；</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每发现一次扣4分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exac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23</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未及时在电子交易平台中回复投标人提出的异议；</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每发现一次扣4分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24</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编制的招标（资格预审）文件中内容不全、有歧义或前后不一致3处以上；</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每发现一次扣4分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25</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开标、评标（审）环节结束后，开评标资料中出现相关人员（如招标人、代理机构项目负责人、投标人、评标专家等）漏签；</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每发现一次扣4分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26</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现场交易过程中有损坏公物，未按垃圾分类要求进行精准分类等情况；</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每发现一次扣4分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27</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未按相关规定支付评标专家劳务费导致评标专家投诉或故意抬高劳务费，扰乱市场行价；</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每发现一次扣4分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555555"/>
                <w:sz w:val="28"/>
                <w:szCs w:val="28"/>
              </w:rPr>
            </w:pPr>
            <w:r>
              <w:rPr>
                <w:rFonts w:hint="eastAsia" w:ascii="宋体" w:hAnsi="宋体"/>
                <w:color w:val="555555"/>
                <w:kern w:val="0"/>
                <w:sz w:val="20"/>
                <w:szCs w:val="20"/>
              </w:rPr>
              <w:t>100分</w:t>
            </w:r>
          </w:p>
        </w:tc>
        <w:tc>
          <w:tcPr>
            <w:tcW w:w="567"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b/>
                <w:color w:val="000000"/>
                <w:sz w:val="20"/>
                <w:szCs w:val="20"/>
              </w:rPr>
            </w:pPr>
            <w:r>
              <w:rPr>
                <w:rFonts w:hint="eastAsia" w:ascii="宋体" w:hAnsi="宋体"/>
                <w:b/>
                <w:color w:val="000000"/>
                <w:kern w:val="0"/>
                <w:sz w:val="20"/>
                <w:szCs w:val="20"/>
              </w:rPr>
              <w:t>较重扣分情形</w:t>
            </w: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28</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不在指定平台发布公告且未按法律法规规定格式发布招标公告信息；</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每发现一次扣8分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各级公共资源交易管理机构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31"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29</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设有最高投标限价，不在招标文件中明确最高投标限价或者最高投标限价的计算方法，最高投标限价随意下调或上浮。在招标文件中设置最低限价，导致价格无法充分竞争；</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每发现一次扣8分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30</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向投标（资格预审申请）人收取招标（资格预审）文件、图纸等不应当收取的费用；</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每发现一次扣8分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03"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31</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对已发出的资格预审文件或者招标文件进行必要的澄清或者修改，澄清或者修改的内容可能影响资格预审申请文件或者投标文件编制、提交资格预审申请文件截止时间不足3日或者投标截止时间不足15日且不相应延期的；</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每发现一次扣8分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32</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评标结果不按规定时限公示，公示内容（如中标候选人名称、排序和其他信息等）错误或不完整；</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每发现一次扣8分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33</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项目办理容缺手续，未按承诺期限补齐相关资料的；</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每发现一次扣8分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34</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私拉滥雇，使用非机构自有人员从事招标代理业务；</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每发现一次扣8分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35</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同一招标项目向潜在投标人或者投标人提供有差别限制、排斥潜在的项目信息；</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每发现一次扣8分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36</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设定的资格、技术、商务条件与招标项目的具体特点和实际需要不相适应或者与合同履行无关；</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每发现一次扣8分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37</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依法必须进行招标的项目以特定行政区域或者特定行业的业绩、奖项作为加分条件或者中标条件；</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每发现一次扣8分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38</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对潜在投标人或者投标人采取不同的资格审查或者评标标准；</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每发现一次扣8分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36"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39</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限定或者指定特定的专利、商标、品牌、原产地或者供应商。参照品牌少于三种、市场价格不在同一档次和未进行价格分析推荐价格差距悬殊大的作为参照品牌；</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每发现一次扣8分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40</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依法必须进行招标的项目非法限定潜在投标人，非法限定投标人的所有制形式或者组织形式；</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每发现一次扣8分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41</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 xml:space="preserve">以其他不合理条件限制、排斥潜在投标人或者投标人；  </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每发现一次扣8分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42</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中标通知书发出后，未及时督促中标人在规定的时间内签订合同；未及时网上发布中标结果公告或填报合同履约信息；</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每发现一次扣8分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43</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当终止招标时，不及时发布公、未及时通知被邀请的投标人或者已经获取资格预审文件、招标文件的潜在投标人；</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每发现一次扣8分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140分</w:t>
            </w:r>
          </w:p>
        </w:tc>
        <w:tc>
          <w:tcPr>
            <w:tcW w:w="567"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b/>
                <w:color w:val="000000"/>
                <w:sz w:val="20"/>
                <w:szCs w:val="20"/>
              </w:rPr>
            </w:pPr>
            <w:r>
              <w:rPr>
                <w:rFonts w:hint="eastAsia" w:ascii="宋体" w:hAnsi="宋体"/>
                <w:b/>
                <w:color w:val="000000"/>
                <w:kern w:val="0"/>
                <w:sz w:val="20"/>
                <w:szCs w:val="20"/>
              </w:rPr>
              <w:t>严重扣分情形</w:t>
            </w: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44</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以给予回扣、恶意压低收费等方式进行不正当竞争。代理服务费用由中标人支付的，未在代理项目的招标文件中明确或未明确费用金额或未进行单独列支等情况的；</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每发现一次扣14分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各级公共资源交易管理机构、行业主管部门、行政监督部门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45</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组织单个或者部分潜在投标人踏勘项目现场；</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每发现一次扣14分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46</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明知招标人委托事项违法未明确告知招标人而继续进行代理的；</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每发现一次扣14分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47</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向他人透露已获取招标文件的潜在投标人的名称、数量或者影响公平竞争的有关招标投标的其他情况；</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每发现一次扣14分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48</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强制要求投标人组成联合体共同投标，或故意设置多资质不接受联合体作为资格条件，为潜在少数投标人提供便利；</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每发现一次扣14分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49</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擅自提高投标保证金或履约保证金额，要求执行相关政策执行不到位或不执行的；</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每发现一次扣14分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50</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接受了依法应当拒收的资格预审申请文件、投标文件；</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每发现一次扣14分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51</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不按项目审批、核准所确定的招标范围、招标方式、招标组织形式进行招标；</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每发现一次扣14分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52</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借用他人营业证照或者出租、出借或者以其他形式非法转让营业证照；</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每发现一次扣14分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53</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不按照招标文件规定的时间、地点开标、评标，有特殊情况未说明理由；</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每发现一次扣14分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54</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透露对投标文件的评审和比较、中标候选人的推荐情况以及与评标有关的其他情况；</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每发现一次扣14分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55</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擅自中止、终止招标；</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每发现一次扣14分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56</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未经招标人书面同意，擅自修改资格预审文件、招标文件；</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每发现一次扣14分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57</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拒绝接受或不配合综合监管部门、行业主管部门开展的调查、工作检查、考核，或在调查、工作检查、考核中隐瞒有关情况，或提供虚假材料；</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每发现一次扣14分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58</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发布的信息有误，被政府网站等管理部门纠错曝光或者造成其他不良影响；</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每发现一次扣14分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59</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开标、评标（审）环节中，因自身原因影响开评标工作，导致无法正常进行甚至重新招标；</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每发现一次扣14分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60</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因代理机构项目负责人自身原因连续两次以上（含两次）延期；</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每发现一次扣14分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61</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澄清文件对招标文件范本内容作了实质性修改或明显违反法律法规规定；</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每发现一次扣14分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62</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招标项目被纪委或审计单位移交查办属于招标代理机构项目负责人原因导致的；</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每发现一次扣14分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63</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泄露应当保密的信息以及隐匿、销毁应当保存的文件资料或者伪造、变造文件资料；</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每发现一次扣14分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exact"/>
        </w:trPr>
        <w:tc>
          <w:tcPr>
            <w:tcW w:w="1135" w:type="dxa"/>
            <w:vMerge w:val="restart"/>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sz w:val="20"/>
                <w:szCs w:val="20"/>
              </w:rPr>
              <w:t>250分</w:t>
            </w:r>
          </w:p>
        </w:tc>
        <w:tc>
          <w:tcPr>
            <w:tcW w:w="567"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b/>
                <w:color w:val="000000"/>
                <w:sz w:val="20"/>
                <w:szCs w:val="20"/>
              </w:rPr>
            </w:pPr>
            <w:r>
              <w:rPr>
                <w:rFonts w:hint="eastAsia" w:ascii="宋体" w:hAnsi="宋体"/>
                <w:b/>
                <w:color w:val="000000"/>
                <w:kern w:val="0"/>
                <w:sz w:val="20"/>
                <w:szCs w:val="20"/>
              </w:rPr>
              <w:t>特别严重扣分情形</w:t>
            </w: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64</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与招标人、投标人串通损害国家利益、社会公共利益或者他人合法权益；</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每发现一次扣30分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各级公共资源交易管理机构、行业主管部门、行政监督部门提供，由市公管办统一计分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exac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65</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在开标前开启投标文件并将有关信息泄露给其他投标人；</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每发现一次扣30分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exac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66</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直接或者间接向投标人泄露标底、评标委员会成员等信息；</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每发现一次扣30分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2" w:hRule="exac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67</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 xml:space="preserve">明示或者暗示投标人压低或者提高投标报价，明示或者暗示投标人为特定投标人中标提供方便；  </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每发现一次扣30分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exac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68</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授意投标人撤换、修改投标文件；</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每发现一次扣30分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exac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69</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与所代理招标项目的招标人或潜在投标人有隶属关系、合作经营关系以及其他直接利益关系；</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每发现一次扣30分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exac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70</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与招标人为谋求特定投标人中标而采取的其他串通行为；</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每发现一次扣30分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exac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71</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已选定中标人或者已签合同或工程已进场施工，后补办招标过程及手续；</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每发现一次扣30分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72</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采取行贿、提供回扣或者给予其他不正当利益以及采用弄虚作假、诋毁他人等不正当手段承接工程招标代理业务；</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每发现一次扣30分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7"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73</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有被综合监管部门或者相关行业主管部门查处的违法违规行为的；</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每发现一次扣30分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74</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招标代理过程，发现其他违法行为的；</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每发现一次扣30分</w:t>
            </w:r>
          </w:p>
        </w:tc>
        <w:tc>
          <w:tcPr>
            <w:tcW w:w="1536"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每季度累计扣分</w:t>
            </w: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1135"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b/>
                <w:color w:val="000000"/>
                <w:sz w:val="20"/>
                <w:szCs w:val="20"/>
              </w:rPr>
            </w:pPr>
            <w:r>
              <w:rPr>
                <w:rFonts w:hint="eastAsia" w:ascii="宋体" w:hAnsi="宋体"/>
                <w:b/>
                <w:color w:val="000000"/>
                <w:sz w:val="20"/>
                <w:szCs w:val="20"/>
              </w:rPr>
              <w:t>良好行为</w:t>
            </w:r>
          </w:p>
          <w:p>
            <w:pPr>
              <w:widowControl/>
              <w:jc w:val="center"/>
              <w:textAlignment w:val="center"/>
              <w:rPr>
                <w:rFonts w:ascii="宋体" w:hAnsi="宋体"/>
                <w:b/>
                <w:color w:val="000000"/>
                <w:sz w:val="20"/>
                <w:szCs w:val="20"/>
              </w:rPr>
            </w:pPr>
            <w:r>
              <w:rPr>
                <w:rFonts w:hint="eastAsia" w:ascii="宋体" w:hAnsi="宋体"/>
                <w:b/>
                <w:color w:val="000000"/>
                <w:sz w:val="20"/>
                <w:szCs w:val="20"/>
              </w:rPr>
              <w:t>（300分）</w:t>
            </w:r>
          </w:p>
        </w:tc>
        <w:tc>
          <w:tcPr>
            <w:tcW w:w="567"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100分</w:t>
            </w:r>
          </w:p>
        </w:tc>
        <w:tc>
          <w:tcPr>
            <w:tcW w:w="1134" w:type="dxa"/>
            <w:gridSpan w:val="2"/>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555555"/>
                <w:sz w:val="20"/>
                <w:szCs w:val="20"/>
              </w:rPr>
            </w:pPr>
            <w:r>
              <w:rPr>
                <w:rFonts w:hint="eastAsia" w:ascii="仿宋_GB2312" w:hAnsi="宋体" w:eastAsia="仿宋_GB2312" w:cs="仿宋_GB2312"/>
                <w:b/>
                <w:color w:val="000000"/>
                <w:kern w:val="0"/>
                <w:sz w:val="20"/>
                <w:szCs w:val="20"/>
              </w:rPr>
              <w:t>业主评价</w:t>
            </w:r>
          </w:p>
        </w:tc>
        <w:tc>
          <w:tcPr>
            <w:tcW w:w="6492" w:type="dxa"/>
            <w:vMerge w:val="restart"/>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555555"/>
                <w:szCs w:val="21"/>
              </w:rPr>
            </w:pPr>
            <w:r>
              <w:rPr>
                <w:rFonts w:hint="eastAsia" w:ascii="仿宋_GB2312" w:hAnsi="宋体" w:eastAsia="仿宋_GB2312" w:cs="仿宋_GB2312"/>
                <w:color w:val="000000"/>
                <w:kern w:val="0"/>
                <w:szCs w:val="21"/>
              </w:rPr>
              <w:t>对委托代理项目整体满意度（代理服务率、绩效率、编制招标文件和工程量清单（控制价）的质量、对项目进行分析和研究、对专用合同条款的合理设定等内容）进行评价；</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满意加100</w:t>
            </w:r>
          </w:p>
        </w:tc>
        <w:tc>
          <w:tcPr>
            <w:tcW w:w="1536"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每季度代理所有项目的业主评价分的平均分.项目来主未评价的按60计分</w:t>
            </w:r>
          </w:p>
        </w:tc>
        <w:tc>
          <w:tcPr>
            <w:tcW w:w="1382"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委托代理的</w:t>
            </w:r>
          </w:p>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项目业主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1"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1134" w:type="dxa"/>
            <w:gridSpan w:val="2"/>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b/>
                <w:color w:val="555555"/>
                <w:sz w:val="20"/>
                <w:szCs w:val="20"/>
              </w:rPr>
            </w:pPr>
          </w:p>
        </w:tc>
        <w:tc>
          <w:tcPr>
            <w:tcW w:w="649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Cs w:val="21"/>
              </w:rPr>
            </w:pP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较满意加80</w:t>
            </w:r>
          </w:p>
        </w:tc>
        <w:tc>
          <w:tcPr>
            <w:tcW w:w="1536"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1134" w:type="dxa"/>
            <w:gridSpan w:val="2"/>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b/>
                <w:color w:val="555555"/>
                <w:sz w:val="20"/>
                <w:szCs w:val="20"/>
              </w:rPr>
            </w:pPr>
          </w:p>
        </w:tc>
        <w:tc>
          <w:tcPr>
            <w:tcW w:w="649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555555"/>
                <w:szCs w:val="21"/>
              </w:rPr>
            </w:pP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一般加60</w:t>
            </w:r>
          </w:p>
        </w:tc>
        <w:tc>
          <w:tcPr>
            <w:tcW w:w="1536"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8"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100分</w:t>
            </w:r>
          </w:p>
        </w:tc>
        <w:tc>
          <w:tcPr>
            <w:tcW w:w="1134" w:type="dxa"/>
            <w:gridSpan w:val="2"/>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kern w:val="0"/>
                <w:sz w:val="20"/>
                <w:szCs w:val="20"/>
              </w:rPr>
              <w:t>负责代理业绩</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根据代理数量（按季度内提交的招标投标进场代理业绩数量）每季度内完成招标项目</w:t>
            </w:r>
            <w:r>
              <w:rPr>
                <w:rFonts w:hint="eastAsia" w:ascii="宋体" w:hAnsi="宋体"/>
                <w:color w:val="000000"/>
                <w:kern w:val="0"/>
                <w:szCs w:val="21"/>
              </w:rPr>
              <w:t>10个</w:t>
            </w:r>
            <w:r>
              <w:rPr>
                <w:rFonts w:hint="eastAsia" w:ascii="仿宋_GB2312" w:hAnsi="宋体" w:eastAsia="仿宋_GB2312" w:cs="仿宋_GB2312"/>
                <w:color w:val="000000"/>
                <w:kern w:val="0"/>
                <w:szCs w:val="21"/>
              </w:rPr>
              <w:t>的得100分</w:t>
            </w:r>
          </w:p>
        </w:tc>
        <w:tc>
          <w:tcPr>
            <w:tcW w:w="3254" w:type="dxa"/>
            <w:gridSpan w:val="2"/>
            <w:vMerge w:val="restart"/>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Z=T1/T2*100；Z：指本季度代理业绩得分；T1：指本季度代理业绩数量或代理业绩中标总金额；T2：指代理招标项目10个或代理中标总金额10亿。说明：本季度内最高分按100分，最低分按60分计。</w:t>
            </w:r>
          </w:p>
        </w:tc>
        <w:tc>
          <w:tcPr>
            <w:tcW w:w="1382"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市公管办统一计分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36"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1134" w:type="dxa"/>
            <w:gridSpan w:val="2"/>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b/>
                <w:color w:val="000000"/>
                <w:sz w:val="20"/>
                <w:szCs w:val="20"/>
              </w:rPr>
            </w:pP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代理金额（按季度内提交的招标投标进场代理业绩中标总金额）每季度内完成招标项目中标总金额10亿得100分；</w:t>
            </w:r>
          </w:p>
        </w:tc>
        <w:tc>
          <w:tcPr>
            <w:tcW w:w="3254" w:type="dxa"/>
            <w:gridSpan w:val="2"/>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50分</w:t>
            </w:r>
          </w:p>
        </w:tc>
        <w:tc>
          <w:tcPr>
            <w:tcW w:w="1134" w:type="dxa"/>
            <w:gridSpan w:val="2"/>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kern w:val="0"/>
                <w:sz w:val="20"/>
                <w:szCs w:val="20"/>
              </w:rPr>
              <w:t>社会责任</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对招标事项提出合理化修改意见被采纳的；</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加10分</w:t>
            </w:r>
          </w:p>
        </w:tc>
        <w:tc>
          <w:tcPr>
            <w:tcW w:w="1536"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累计得分，最多得50分(同一事项按最高计分）</w:t>
            </w:r>
          </w:p>
        </w:tc>
        <w:tc>
          <w:tcPr>
            <w:tcW w:w="1382"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各级公共资源交易管理机构出具证明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1134" w:type="dxa"/>
            <w:gridSpan w:val="2"/>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b/>
                <w:color w:val="000000"/>
                <w:sz w:val="20"/>
                <w:szCs w:val="20"/>
              </w:rPr>
            </w:pP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有效制止重大违法违规行为发生或提供项目实施过程中违法违规有效线索的；</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加10分</w:t>
            </w:r>
          </w:p>
        </w:tc>
        <w:tc>
          <w:tcPr>
            <w:tcW w:w="1536"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1134" w:type="dxa"/>
            <w:gridSpan w:val="2"/>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b/>
                <w:color w:val="000000"/>
                <w:sz w:val="20"/>
                <w:szCs w:val="20"/>
              </w:rPr>
            </w:pP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在公开发行的杂志、有关专业官方网站、期刊上（有刊号）发表上每发表1篇与工程招标相关的论文；</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加10分</w:t>
            </w:r>
          </w:p>
        </w:tc>
        <w:tc>
          <w:tcPr>
            <w:tcW w:w="1536"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1134" w:type="dxa"/>
            <w:gridSpan w:val="2"/>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b/>
                <w:color w:val="000000"/>
                <w:sz w:val="20"/>
                <w:szCs w:val="20"/>
              </w:rPr>
            </w:pP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在</w:t>
            </w:r>
            <w:r>
              <w:rPr>
                <w:rFonts w:hint="eastAsia" w:ascii="仿宋_GB2312" w:hAnsi="宋体" w:eastAsia="仿宋_GB2312" w:cs="仿宋_GB2312"/>
                <w:kern w:val="0"/>
                <w:szCs w:val="21"/>
              </w:rPr>
              <w:t>全市范围</w:t>
            </w:r>
            <w:r>
              <w:rPr>
                <w:rFonts w:hint="eastAsia" w:ascii="仿宋_GB2312" w:hAnsi="宋体" w:eastAsia="仿宋_GB2312" w:cs="仿宋_GB2312"/>
                <w:color w:val="000000"/>
                <w:kern w:val="0"/>
                <w:szCs w:val="21"/>
              </w:rPr>
              <w:t>连续10个进场交易项目未扣分的；</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加10分</w:t>
            </w:r>
          </w:p>
        </w:tc>
        <w:tc>
          <w:tcPr>
            <w:tcW w:w="1536"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75"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1134" w:type="dxa"/>
            <w:gridSpan w:val="2"/>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b/>
                <w:color w:val="000000"/>
                <w:sz w:val="20"/>
                <w:szCs w:val="20"/>
              </w:rPr>
            </w:pP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公益活动（如在湖州市范围内参与救灾、物资捐赠、助教、慈善公益宣传、企业履行节能减排、保护环境、资源保护责任、垃圾分类等活动）；</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加10分</w:t>
            </w:r>
          </w:p>
        </w:tc>
        <w:tc>
          <w:tcPr>
            <w:tcW w:w="1536"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50分</w:t>
            </w:r>
          </w:p>
        </w:tc>
        <w:tc>
          <w:tcPr>
            <w:tcW w:w="1134" w:type="dxa"/>
            <w:gridSpan w:val="2"/>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kern w:val="0"/>
                <w:sz w:val="20"/>
                <w:szCs w:val="20"/>
              </w:rPr>
              <w:t>项负责人目奖励信息</w:t>
            </w: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近三年受到国家级相关主管部门通报表扬或奖励的；</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加50分</w:t>
            </w:r>
          </w:p>
        </w:tc>
        <w:tc>
          <w:tcPr>
            <w:tcW w:w="1536"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累计得分，最多得50分(同一事项按最高计分）</w:t>
            </w:r>
          </w:p>
        </w:tc>
        <w:tc>
          <w:tcPr>
            <w:tcW w:w="1382"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企业通过电子系统自行申报，市公管办负责审核（奖励信息以奖项的发文时间开始计，发文之日起一年内有效加分）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000000"/>
                <w:kern w:val="0"/>
                <w:sz w:val="20"/>
                <w:szCs w:val="20"/>
              </w:rPr>
            </w:pPr>
          </w:p>
        </w:tc>
        <w:tc>
          <w:tcPr>
            <w:tcW w:w="1134" w:type="dxa"/>
            <w:gridSpan w:val="2"/>
            <w:vMerge w:val="continue"/>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kern w:val="0"/>
                <w:sz w:val="20"/>
                <w:szCs w:val="20"/>
              </w:rPr>
            </w:pP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近三年受到省级相关主管部门通报表扬或奖励的；</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加30分</w:t>
            </w:r>
          </w:p>
        </w:tc>
        <w:tc>
          <w:tcPr>
            <w:tcW w:w="1536" w:type="dxa"/>
            <w:vMerge w:val="continue"/>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0"/>
                <w:szCs w:val="20"/>
              </w:rPr>
            </w:pPr>
          </w:p>
        </w:tc>
        <w:tc>
          <w:tcPr>
            <w:tcW w:w="1382" w:type="dxa"/>
            <w:vMerge w:val="continue"/>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2"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1134" w:type="dxa"/>
            <w:gridSpan w:val="2"/>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b/>
                <w:color w:val="000000"/>
                <w:sz w:val="20"/>
                <w:szCs w:val="20"/>
              </w:rPr>
            </w:pP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近三年受到</w:t>
            </w:r>
            <w:r>
              <w:rPr>
                <w:rFonts w:hint="eastAsia" w:ascii="宋体" w:hAnsi="宋体"/>
                <w:color w:val="000000"/>
                <w:kern w:val="0"/>
                <w:szCs w:val="21"/>
              </w:rPr>
              <w:t>县</w:t>
            </w:r>
            <w:r>
              <w:rPr>
                <w:rFonts w:hint="eastAsia" w:ascii="仿宋_GB2312" w:hAnsi="宋体" w:eastAsia="仿宋_GB2312" w:cs="仿宋_GB2312"/>
                <w:color w:val="000000"/>
                <w:kern w:val="0"/>
                <w:szCs w:val="21"/>
              </w:rPr>
              <w:t>市级相关主管部门通报表扬或奖励的；</w:t>
            </w:r>
          </w:p>
        </w:tc>
        <w:tc>
          <w:tcPr>
            <w:tcW w:w="1718" w:type="dxa"/>
            <w:tcBorders>
              <w:tl2br w:val="nil"/>
              <w:tr2bl w:val="nil"/>
            </w:tcBorders>
            <w:shd w:val="clear" w:color="auto" w:fill="FFFFFF"/>
            <w:tcMar>
              <w:top w:w="15" w:type="dxa"/>
              <w:left w:w="15" w:type="dxa"/>
              <w:right w:w="15" w:type="dxa"/>
            </w:tcMar>
            <w:vAlign w:val="center"/>
          </w:tcPr>
          <w:p>
            <w:pPr>
              <w:widowControl/>
              <w:ind w:firstLine="600" w:firstLineChars="300"/>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加20分</w:t>
            </w:r>
          </w:p>
        </w:tc>
        <w:tc>
          <w:tcPr>
            <w:tcW w:w="1536"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000000"/>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000000"/>
                <w:sz w:val="20"/>
                <w:szCs w:val="20"/>
              </w:rPr>
            </w:pPr>
          </w:p>
        </w:tc>
        <w:tc>
          <w:tcPr>
            <w:tcW w:w="1134" w:type="dxa"/>
            <w:gridSpan w:val="2"/>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b/>
                <w:color w:val="000000"/>
                <w:sz w:val="20"/>
                <w:szCs w:val="20"/>
              </w:rPr>
            </w:pPr>
          </w:p>
        </w:tc>
        <w:tc>
          <w:tcPr>
            <w:tcW w:w="6492"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近三年受到相关协会等其他部门通报表扬或奖励的；</w:t>
            </w:r>
          </w:p>
        </w:tc>
        <w:tc>
          <w:tcPr>
            <w:tcW w:w="1718"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加10分</w:t>
            </w:r>
          </w:p>
        </w:tc>
        <w:tc>
          <w:tcPr>
            <w:tcW w:w="1536"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138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r>
    </w:tbl>
    <w:p>
      <w:pPr>
        <w:widowControl/>
        <w:shd w:val="clear" w:color="auto" w:fill="FFFFFF"/>
        <w:spacing w:line="520" w:lineRule="exact"/>
        <w:ind w:firstLine="547" w:firstLineChars="228"/>
        <w:rPr>
          <w:rFonts w:ascii="仿宋_GB2312" w:hAnsi="仿宋_GB2312" w:eastAsia="仿宋_GB2312" w:cs="仿宋_GB2312"/>
          <w:color w:val="000000"/>
          <w:kern w:val="0"/>
          <w:sz w:val="24"/>
          <w:szCs w:val="24"/>
        </w:rPr>
        <w:sectPr>
          <w:headerReference r:id="rId5" w:type="default"/>
          <w:footerReference r:id="rId6" w:type="default"/>
          <w:pgSz w:w="16783" w:h="11850" w:orient="landscape"/>
          <w:pgMar w:top="1800" w:right="1440" w:bottom="1800" w:left="1440" w:header="851" w:footer="992" w:gutter="0"/>
          <w:pgNumType w:fmt="numberInDash"/>
          <w:cols w:space="425" w:num="1"/>
          <w:docGrid w:type="lines" w:linePitch="312" w:charSpace="0"/>
        </w:sectPr>
      </w:pPr>
      <w:r>
        <w:rPr>
          <w:rFonts w:hint="eastAsia" w:ascii="仿宋_GB2312" w:hAnsi="仿宋_GB2312" w:eastAsia="仿宋_GB2312" w:cs="仿宋_GB2312"/>
          <w:color w:val="000000"/>
          <w:kern w:val="0"/>
          <w:sz w:val="24"/>
          <w:szCs w:val="24"/>
        </w:rPr>
        <w:t>注：日常考核按照“一事一评”，项目负责人在实施招标代理业务时，发现有违反上述评价标准指标，按发生事项进行扣分，</w:t>
      </w:r>
      <w:r>
        <w:rPr>
          <w:rFonts w:hint="eastAsia" w:ascii="仿宋_GB2312" w:hAnsi="仿宋_GB2312" w:eastAsia="仿宋_GB2312" w:cs="仿宋_GB2312"/>
          <w:sz w:val="24"/>
          <w:szCs w:val="24"/>
        </w:rPr>
        <w:t>项目组的</w:t>
      </w:r>
      <w:r>
        <w:rPr>
          <w:rFonts w:hint="eastAsia" w:ascii="仿宋_GB2312" w:hAnsi="仿宋_GB2312" w:eastAsia="仿宋_GB2312" w:cs="仿宋_GB2312"/>
          <w:color w:val="000000"/>
          <w:kern w:val="0"/>
          <w:sz w:val="24"/>
          <w:szCs w:val="24"/>
        </w:rPr>
        <w:t>辅助人员（其他从业人员）按项目负责人扣分总值的</w:t>
      </w:r>
      <w:r>
        <w:rPr>
          <w:rFonts w:ascii="仿宋_GB2312" w:hAnsi="仿宋_GB2312" w:eastAsia="仿宋_GB2312" w:cs="仿宋_GB2312"/>
          <w:color w:val="000000"/>
          <w:kern w:val="0"/>
          <w:sz w:val="24"/>
          <w:szCs w:val="24"/>
        </w:rPr>
        <w:t>50%计</w:t>
      </w:r>
      <w:r>
        <w:rPr>
          <w:rFonts w:hint="eastAsia" w:ascii="仿宋_GB2312" w:hAnsi="仿宋_GB2312" w:eastAsia="仿宋_GB2312" w:cs="仿宋_GB2312"/>
          <w:color w:val="000000"/>
          <w:kern w:val="0"/>
          <w:sz w:val="24"/>
          <w:szCs w:val="24"/>
        </w:rPr>
        <w:t>算。代理同一项目同一事项发生在不同过程、节点的可重复扣分。</w:t>
      </w:r>
    </w:p>
    <w:p>
      <w:pPr>
        <w:widowControl/>
        <w:spacing w:line="600" w:lineRule="exact"/>
        <w:ind w:firstLine="640"/>
        <w:rPr>
          <w:rFonts w:ascii="仿宋_GB2312" w:hAnsi="仿宋_GB2312" w:eastAsia="仿宋_GB2312" w:cs="仿宋_GB2312"/>
          <w:color w:val="000000"/>
          <w:sz w:val="32"/>
          <w:szCs w:val="32"/>
        </w:rPr>
      </w:pPr>
    </w:p>
    <w:p>
      <w:pPr>
        <w:widowControl/>
        <w:spacing w:line="600" w:lineRule="exact"/>
        <w:ind w:firstLine="640"/>
        <w:rPr>
          <w:rFonts w:ascii="仿宋_GB2312" w:hAnsi="仿宋_GB2312" w:eastAsia="仿宋_GB2312" w:cs="仿宋_GB2312"/>
          <w:color w:val="000000"/>
          <w:sz w:val="32"/>
          <w:szCs w:val="32"/>
        </w:rPr>
      </w:pPr>
    </w:p>
    <w:p>
      <w:pPr>
        <w:widowControl/>
        <w:spacing w:line="600" w:lineRule="exact"/>
        <w:ind w:firstLine="640"/>
        <w:rPr>
          <w:rFonts w:ascii="仿宋_GB2312" w:hAnsi="仿宋_GB2312" w:eastAsia="仿宋_GB2312" w:cs="仿宋_GB2312"/>
          <w:color w:val="000000"/>
          <w:sz w:val="32"/>
          <w:szCs w:val="32"/>
        </w:rPr>
      </w:pPr>
    </w:p>
    <w:p>
      <w:pPr>
        <w:widowControl/>
        <w:spacing w:line="600" w:lineRule="exact"/>
        <w:ind w:firstLine="640"/>
        <w:rPr>
          <w:rFonts w:ascii="仿宋_GB2312" w:hAnsi="仿宋_GB2312" w:eastAsia="仿宋_GB2312" w:cs="仿宋_GB2312"/>
          <w:color w:val="000000"/>
          <w:sz w:val="32"/>
          <w:szCs w:val="32"/>
        </w:rPr>
      </w:pPr>
    </w:p>
    <w:p>
      <w:pPr>
        <w:widowControl/>
        <w:spacing w:line="600" w:lineRule="exact"/>
        <w:ind w:firstLine="640"/>
        <w:rPr>
          <w:rFonts w:ascii="仿宋_GB2312" w:hAnsi="仿宋_GB2312" w:eastAsia="仿宋_GB2312" w:cs="仿宋_GB2312"/>
          <w:color w:val="000000"/>
          <w:sz w:val="32"/>
          <w:szCs w:val="32"/>
        </w:rPr>
      </w:pPr>
    </w:p>
    <w:p>
      <w:pPr>
        <w:widowControl/>
        <w:spacing w:line="600" w:lineRule="exact"/>
        <w:ind w:firstLine="640"/>
        <w:rPr>
          <w:rFonts w:ascii="仿宋_GB2312" w:hAnsi="仿宋_GB2312" w:eastAsia="仿宋_GB2312" w:cs="仿宋_GB2312"/>
          <w:color w:val="000000"/>
          <w:sz w:val="32"/>
          <w:szCs w:val="32"/>
        </w:rPr>
      </w:pPr>
    </w:p>
    <w:p>
      <w:pPr>
        <w:widowControl/>
        <w:spacing w:line="600" w:lineRule="exact"/>
        <w:ind w:firstLine="640"/>
        <w:rPr>
          <w:rFonts w:ascii="仿宋_GB2312" w:hAnsi="仿宋_GB2312" w:eastAsia="仿宋_GB2312" w:cs="仿宋_GB2312"/>
          <w:color w:val="000000"/>
          <w:sz w:val="32"/>
          <w:szCs w:val="32"/>
        </w:rPr>
      </w:pPr>
    </w:p>
    <w:p>
      <w:pPr>
        <w:widowControl/>
        <w:spacing w:line="600" w:lineRule="exact"/>
        <w:ind w:firstLine="640"/>
        <w:rPr>
          <w:rFonts w:ascii="仿宋_GB2312" w:hAnsi="仿宋_GB2312" w:eastAsia="仿宋_GB2312" w:cs="仿宋_GB2312"/>
          <w:color w:val="000000"/>
          <w:sz w:val="32"/>
          <w:szCs w:val="32"/>
        </w:rPr>
      </w:pPr>
    </w:p>
    <w:p>
      <w:pPr>
        <w:widowControl/>
        <w:spacing w:line="600" w:lineRule="exact"/>
        <w:ind w:firstLine="640"/>
        <w:rPr>
          <w:rFonts w:ascii="仿宋_GB2312" w:hAnsi="仿宋_GB2312" w:eastAsia="仿宋_GB2312" w:cs="仿宋_GB2312"/>
          <w:color w:val="000000"/>
          <w:sz w:val="32"/>
          <w:szCs w:val="32"/>
        </w:rPr>
      </w:pPr>
    </w:p>
    <w:p>
      <w:pPr>
        <w:widowControl/>
        <w:spacing w:line="600" w:lineRule="exact"/>
        <w:ind w:firstLine="640"/>
        <w:rPr>
          <w:rFonts w:ascii="仿宋_GB2312" w:hAnsi="仿宋_GB2312" w:eastAsia="仿宋_GB2312" w:cs="仿宋_GB2312"/>
          <w:color w:val="000000"/>
          <w:sz w:val="32"/>
          <w:szCs w:val="32"/>
        </w:rPr>
      </w:pPr>
    </w:p>
    <w:p>
      <w:pPr>
        <w:widowControl/>
        <w:spacing w:line="600" w:lineRule="exact"/>
        <w:rPr>
          <w:rFonts w:ascii="仿宋_GB2312" w:hAnsi="仿宋_GB2312" w:eastAsia="仿宋_GB2312" w:cs="仿宋_GB2312"/>
          <w:color w:val="000000"/>
          <w:sz w:val="32"/>
          <w:szCs w:val="32"/>
        </w:rPr>
      </w:pPr>
    </w:p>
    <w:p>
      <w:pPr>
        <w:widowControl/>
        <w:spacing w:line="600" w:lineRule="exact"/>
        <w:rPr>
          <w:rFonts w:ascii="仿宋_GB2312" w:hAnsi="仿宋_GB2312" w:eastAsia="仿宋_GB2312" w:cs="仿宋_GB2312"/>
          <w:color w:val="000000"/>
          <w:sz w:val="32"/>
          <w:szCs w:val="32"/>
        </w:rPr>
      </w:pPr>
    </w:p>
    <w:p>
      <w:pPr>
        <w:widowControl/>
        <w:spacing w:line="600" w:lineRule="exact"/>
        <w:rPr>
          <w:rFonts w:ascii="仿宋_GB2312" w:hAnsi="仿宋_GB2312" w:eastAsia="仿宋_GB2312" w:cs="仿宋_GB2312"/>
          <w:color w:val="000000"/>
          <w:sz w:val="32"/>
          <w:szCs w:val="32"/>
        </w:rPr>
      </w:pPr>
    </w:p>
    <w:p>
      <w:pPr>
        <w:widowControl/>
        <w:spacing w:line="600" w:lineRule="exact"/>
        <w:rPr>
          <w:rFonts w:ascii="仿宋_GB2312" w:hAnsi="仿宋_GB2312" w:eastAsia="仿宋_GB2312" w:cs="仿宋_GB2312"/>
          <w:color w:val="000000"/>
          <w:sz w:val="32"/>
          <w:szCs w:val="32"/>
        </w:rPr>
      </w:pPr>
    </w:p>
    <w:p>
      <w:pPr>
        <w:widowControl/>
        <w:spacing w:line="600" w:lineRule="exact"/>
        <w:rPr>
          <w:rFonts w:ascii="仿宋_GB2312" w:hAnsi="仿宋_GB2312" w:eastAsia="仿宋_GB2312" w:cs="仿宋_GB2312"/>
          <w:color w:val="000000"/>
          <w:sz w:val="32"/>
          <w:szCs w:val="32"/>
        </w:rPr>
      </w:pPr>
    </w:p>
    <w:p>
      <w:pPr>
        <w:widowControl/>
        <w:spacing w:line="600" w:lineRule="exact"/>
        <w:rPr>
          <w:rFonts w:ascii="仿宋_GB2312" w:hAnsi="仿宋_GB2312" w:eastAsia="仿宋_GB2312" w:cs="仿宋_GB2312"/>
          <w:color w:val="000000"/>
          <w:sz w:val="32"/>
          <w:szCs w:val="32"/>
        </w:rPr>
      </w:pPr>
    </w:p>
    <w:p>
      <w:pPr>
        <w:widowControl/>
        <w:spacing w:line="600" w:lineRule="exact"/>
        <w:rPr>
          <w:rFonts w:ascii="仿宋_GB2312" w:hAnsi="仿宋_GB2312" w:eastAsia="仿宋_GB2312" w:cs="仿宋_GB2312"/>
          <w:color w:val="000000"/>
          <w:sz w:val="32"/>
          <w:szCs w:val="32"/>
        </w:rPr>
      </w:pPr>
    </w:p>
    <w:p>
      <w:pPr>
        <w:widowControl/>
        <w:spacing w:line="600" w:lineRule="exact"/>
        <w:rPr>
          <w:rFonts w:ascii="仿宋_GB2312" w:hAnsi="仿宋_GB2312" w:eastAsia="仿宋_GB2312" w:cs="仿宋_GB2312"/>
          <w:color w:val="000000"/>
          <w:sz w:val="32"/>
          <w:szCs w:val="32"/>
        </w:rPr>
      </w:pPr>
    </w:p>
    <w:p>
      <w:pPr>
        <w:widowControl/>
        <w:spacing w:line="600" w:lineRule="exact"/>
        <w:rPr>
          <w:rFonts w:ascii="仿宋_GB2312" w:hAnsi="仿宋_GB2312" w:eastAsia="仿宋_GB2312" w:cs="仿宋_GB2312"/>
          <w:color w:val="000000"/>
          <w:sz w:val="32"/>
          <w:szCs w:val="32"/>
        </w:rPr>
      </w:pPr>
    </w:p>
    <w:p>
      <w:pPr>
        <w:widowControl/>
        <w:spacing w:line="600" w:lineRule="exact"/>
        <w:rPr>
          <w:rFonts w:ascii="仿宋_GB2312" w:hAnsi="仿宋_GB2312" w:eastAsia="仿宋_GB2312" w:cs="仿宋_GB2312"/>
          <w:color w:val="000000"/>
          <w:sz w:val="32"/>
          <w:szCs w:val="32"/>
        </w:rPr>
      </w:pPr>
    </w:p>
    <w:p>
      <w:pPr>
        <w:widowControl/>
        <w:spacing w:line="600" w:lineRule="exact"/>
        <w:rPr>
          <w:rFonts w:ascii="仿宋_GB2312" w:hAnsi="仿宋_GB2312" w:eastAsia="仿宋_GB2312" w:cs="仿宋_GB2312"/>
          <w:color w:val="000000"/>
          <w:sz w:val="32"/>
          <w:szCs w:val="32"/>
        </w:rPr>
      </w:pPr>
    </w:p>
    <w:p>
      <w:pPr>
        <w:widowControl/>
        <w:spacing w:line="600" w:lineRule="exact"/>
        <w:rPr>
          <w:rFonts w:ascii="仿宋_GB2312" w:hAnsi="仿宋_GB2312" w:eastAsia="仿宋_GB2312" w:cs="仿宋_GB2312"/>
          <w:color w:val="000000"/>
          <w:sz w:val="32"/>
          <w:szCs w:val="32"/>
        </w:rPr>
      </w:pPr>
    </w:p>
    <w:p>
      <w:pPr>
        <w:widowControl/>
        <w:spacing w:line="600" w:lineRule="exact"/>
        <w:rPr>
          <w:rFonts w:ascii="仿宋_GB2312" w:hAnsi="仿宋_GB2312" w:eastAsia="仿宋_GB2312" w:cs="仿宋_GB2312"/>
          <w:color w:val="000000"/>
          <w:sz w:val="32"/>
          <w:szCs w:val="32"/>
        </w:rPr>
      </w:pPr>
    </w:p>
    <w:p>
      <w:pPr>
        <w:widowControl/>
        <w:spacing w:line="600" w:lineRule="exact"/>
        <w:rPr>
          <w:rFonts w:ascii="仿宋_GB2312" w:hAnsi="仿宋_GB2312" w:eastAsia="仿宋_GB2312" w:cs="仿宋_GB2312"/>
          <w:color w:val="000000"/>
          <w:sz w:val="32"/>
          <w:szCs w:val="32"/>
        </w:rPr>
      </w:pPr>
    </w:p>
    <w:p>
      <w:pPr>
        <w:widowControl/>
        <w:spacing w:line="600" w:lineRule="exact"/>
        <w:rPr>
          <w:rFonts w:ascii="仿宋_GB2312" w:hAnsi="仿宋_GB2312" w:eastAsia="仿宋_GB2312" w:cs="仿宋_GB2312"/>
          <w:color w:val="000000"/>
          <w:sz w:val="32"/>
          <w:szCs w:val="32"/>
        </w:rPr>
      </w:pPr>
    </w:p>
    <w:p>
      <w:pPr>
        <w:widowControl/>
        <w:spacing w:line="600" w:lineRule="exact"/>
        <w:rPr>
          <w:rFonts w:ascii="仿宋_GB2312" w:hAnsi="仿宋_GB2312" w:eastAsia="仿宋_GB2312" w:cs="仿宋_GB2312"/>
          <w:color w:val="000000"/>
          <w:sz w:val="32"/>
          <w:szCs w:val="32"/>
        </w:rPr>
      </w:pPr>
    </w:p>
    <w:p>
      <w:pPr>
        <w:widowControl/>
        <w:spacing w:line="600" w:lineRule="exact"/>
        <w:rPr>
          <w:rFonts w:ascii="仿宋_GB2312" w:hAnsi="仿宋_GB2312" w:eastAsia="仿宋_GB2312" w:cs="仿宋_GB2312"/>
          <w:color w:val="000000"/>
          <w:sz w:val="32"/>
          <w:szCs w:val="32"/>
        </w:rPr>
      </w:pPr>
    </w:p>
    <w:p>
      <w:pPr>
        <w:widowControl/>
        <w:spacing w:line="600" w:lineRule="exact"/>
        <w:rPr>
          <w:rFonts w:ascii="仿宋_GB2312" w:hAnsi="仿宋_GB2312" w:eastAsia="仿宋_GB2312" w:cs="仿宋_GB2312"/>
          <w:color w:val="000000"/>
          <w:sz w:val="32"/>
          <w:szCs w:val="32"/>
        </w:rPr>
      </w:pPr>
    </w:p>
    <w:p>
      <w:pPr>
        <w:widowControl/>
        <w:spacing w:line="600" w:lineRule="exact"/>
        <w:rPr>
          <w:rFonts w:ascii="仿宋_GB2312" w:hAnsi="仿宋_GB2312" w:eastAsia="仿宋_GB2312" w:cs="仿宋_GB2312"/>
          <w:color w:val="000000"/>
          <w:sz w:val="32"/>
          <w:szCs w:val="32"/>
        </w:rPr>
      </w:pPr>
    </w:p>
    <w:p>
      <w:pPr>
        <w:widowControl/>
        <w:spacing w:line="600" w:lineRule="exact"/>
        <w:rPr>
          <w:rFonts w:ascii="仿宋_GB2312" w:hAnsi="仿宋_GB2312" w:eastAsia="仿宋_GB2312" w:cs="仿宋_GB2312"/>
          <w:color w:val="000000"/>
          <w:sz w:val="32"/>
          <w:szCs w:val="32"/>
        </w:rPr>
      </w:pPr>
    </w:p>
    <w:p>
      <w:pPr>
        <w:widowControl/>
        <w:spacing w:line="600" w:lineRule="exact"/>
        <w:rPr>
          <w:rFonts w:ascii="仿宋_GB2312" w:hAnsi="仿宋_GB2312" w:eastAsia="仿宋_GB2312" w:cs="仿宋_GB2312"/>
          <w:color w:val="000000"/>
          <w:sz w:val="32"/>
          <w:szCs w:val="32"/>
        </w:rPr>
      </w:pPr>
    </w:p>
    <w:p>
      <w:pPr>
        <w:widowControl/>
        <w:spacing w:line="600" w:lineRule="exact"/>
        <w:rPr>
          <w:rFonts w:ascii="仿宋_GB2312" w:hAnsi="仿宋_GB2312" w:eastAsia="仿宋_GB2312" w:cs="仿宋_GB2312"/>
          <w:color w:val="000000"/>
          <w:sz w:val="32"/>
          <w:szCs w:val="32"/>
        </w:rPr>
      </w:pPr>
    </w:p>
    <w:p>
      <w:pPr>
        <w:widowControl/>
        <w:spacing w:line="600" w:lineRule="exact"/>
        <w:rPr>
          <w:rFonts w:ascii="仿宋_GB2312" w:hAnsi="仿宋_GB2312" w:eastAsia="仿宋_GB2312" w:cs="仿宋_GB2312"/>
          <w:color w:val="000000"/>
          <w:sz w:val="32"/>
          <w:szCs w:val="32"/>
        </w:rPr>
      </w:pPr>
    </w:p>
    <w:p>
      <w:pPr>
        <w:widowControl/>
        <w:spacing w:line="600" w:lineRule="exact"/>
        <w:rPr>
          <w:rFonts w:ascii="仿宋_GB2312" w:hAnsi="仿宋_GB2312" w:eastAsia="仿宋_GB2312" w:cs="仿宋_GB2312"/>
          <w:color w:val="000000"/>
          <w:sz w:val="32"/>
          <w:szCs w:val="32"/>
        </w:rPr>
      </w:pPr>
    </w:p>
    <w:p>
      <w:pPr>
        <w:widowControl/>
        <w:spacing w:line="600" w:lineRule="exact"/>
        <w:rPr>
          <w:rFonts w:ascii="仿宋_GB2312" w:hAnsi="仿宋_GB2312" w:eastAsia="仿宋_GB2312" w:cs="仿宋_GB2312"/>
          <w:color w:val="000000"/>
          <w:sz w:val="32"/>
          <w:szCs w:val="32"/>
        </w:rPr>
      </w:pPr>
    </w:p>
    <w:p>
      <w:pPr>
        <w:widowControl/>
        <w:spacing w:line="600" w:lineRule="exact"/>
        <w:rPr>
          <w:rFonts w:ascii="仿宋_GB2312" w:hAnsi="仿宋_GB2312" w:eastAsia="仿宋_GB2312" w:cs="仿宋_GB2312"/>
          <w:color w:val="000000"/>
          <w:sz w:val="32"/>
          <w:szCs w:val="32"/>
        </w:rPr>
      </w:pPr>
    </w:p>
    <w:p>
      <w:pPr>
        <w:widowControl/>
        <w:spacing w:line="600" w:lineRule="exact"/>
        <w:rPr>
          <w:rFonts w:ascii="仿宋_GB2312" w:hAnsi="仿宋_GB2312" w:eastAsia="仿宋_GB2312" w:cs="仿宋_GB2312"/>
          <w:color w:val="000000"/>
          <w:sz w:val="32"/>
          <w:szCs w:val="32"/>
        </w:rPr>
      </w:pPr>
    </w:p>
    <w:p>
      <w:pPr>
        <w:widowControl/>
        <w:spacing w:line="600" w:lineRule="exact"/>
        <w:rPr>
          <w:rFonts w:ascii="仿宋_GB2312" w:hAnsi="仿宋_GB2312" w:eastAsia="仿宋_GB2312" w:cs="仿宋_GB2312"/>
          <w:color w:val="000000"/>
          <w:sz w:val="32"/>
          <w:szCs w:val="32"/>
        </w:rPr>
      </w:pPr>
    </w:p>
    <w:p>
      <w:pPr>
        <w:widowControl/>
        <w:spacing w:line="600" w:lineRule="exact"/>
        <w:rPr>
          <w:rFonts w:ascii="仿宋_GB2312" w:hAnsi="仿宋_GB2312" w:eastAsia="仿宋_GB2312" w:cs="仿宋_GB2312"/>
          <w:color w:val="000000"/>
          <w:sz w:val="32"/>
          <w:szCs w:val="32"/>
        </w:rPr>
      </w:pPr>
    </w:p>
    <w:p>
      <w:pPr>
        <w:widowControl/>
        <w:spacing w:line="600" w:lineRule="exact"/>
        <w:rPr>
          <w:rFonts w:ascii="仿宋_GB2312" w:hAnsi="仿宋_GB2312" w:eastAsia="仿宋_GB2312" w:cs="仿宋_GB2312"/>
          <w:color w:val="000000"/>
          <w:sz w:val="32"/>
          <w:szCs w:val="32"/>
        </w:rPr>
      </w:pPr>
    </w:p>
    <w:p>
      <w:pPr>
        <w:widowControl/>
        <w:spacing w:line="600" w:lineRule="exact"/>
        <w:rPr>
          <w:rFonts w:ascii="仿宋_GB2312" w:hAnsi="仿宋_GB2312" w:eastAsia="仿宋_GB2312" w:cs="仿宋_GB2312"/>
          <w:color w:val="000000"/>
          <w:sz w:val="32"/>
          <w:szCs w:val="32"/>
        </w:rPr>
      </w:pPr>
    </w:p>
    <w:p>
      <w:pPr>
        <w:widowControl/>
        <w:spacing w:line="600" w:lineRule="exact"/>
        <w:rPr>
          <w:rFonts w:ascii="仿宋_GB2312" w:hAnsi="仿宋_GB2312" w:eastAsia="仿宋_GB2312" w:cs="仿宋_GB2312"/>
          <w:color w:val="000000"/>
          <w:sz w:val="32"/>
          <w:szCs w:val="32"/>
        </w:rPr>
      </w:pPr>
    </w:p>
    <w:p>
      <w:pPr>
        <w:widowControl/>
        <w:spacing w:line="600" w:lineRule="exact"/>
        <w:rPr>
          <w:rFonts w:ascii="仿宋_GB2312" w:hAnsi="仿宋_GB2312" w:eastAsia="仿宋_GB2312" w:cs="仿宋_GB2312"/>
          <w:color w:val="000000"/>
          <w:sz w:val="32"/>
          <w:szCs w:val="32"/>
        </w:rPr>
      </w:pPr>
    </w:p>
    <w:p>
      <w:pPr>
        <w:widowControl/>
        <w:spacing w:line="600" w:lineRule="exact"/>
        <w:rPr>
          <w:rFonts w:ascii="仿宋_GB2312" w:hAnsi="仿宋_GB2312" w:eastAsia="仿宋_GB2312" w:cs="仿宋_GB2312"/>
          <w:color w:val="000000"/>
          <w:sz w:val="32"/>
          <w:szCs w:val="32"/>
        </w:rPr>
      </w:pPr>
      <w:r>
        <w:rPr>
          <w:rFonts w:ascii="仿宋_GB2312" w:hAnsi="仿宋_GB2312" w:eastAsia="仿宋_GB2312" w:cs="仿宋_GB2312"/>
          <w:sz w:val="32"/>
          <w:szCs w:val="32"/>
        </w:rPr>
        <w:pict>
          <v:line id="_x0000_s2052" o:spid="_x0000_s2052" o:spt="20" style="position:absolute;left:0pt;flip:y;margin-left:-0.8pt;margin-top:27.45pt;height:1.5pt;width:414.75pt;z-index:251667456;mso-width-relative:page;mso-height-relative:page;" stroked="t" coordsize="21600,21600" o:gfxdata="UEsFBgAAAAAAAAAAAAAAAAAAAAAAAFBLAwQKAAAAAACHTuJAAAAAAAAAAAAAAAAABAAAAGRycy9Q&#10;SwMEFAAAAAgAh07iQMQ9/Z3WAAAACAEAAA8AAABkcnMvZG93bnJldi54bWxNjz1PwzAQhnck/oN1&#10;SGyt40C/QpwOSIwMDQx0c+NrHIjPUeymhV/PMdHpPt5X7z1Xbi++FxOOsQukQc0zEEhNsB21Gt7f&#10;XmZrEDEZsqYPhBq+McK2ur0pTWHDmXY41akVHEKxMBpcSkMhZWwcehPnYUBi7RhGbxKPYyvtaM4c&#10;7nuZZ9lSetMRX3BmwGeHzVd98hpqpVDuHzbp8/X48ZMWe7fKp53W93cqewKR8JL+zfCHz+hQMdMh&#10;nMhG0WuYqSU7NSweNyBYX+crbg684CqrUl4/UP0CUEsDBBQAAAAIAIdO4kB0xORx0AEAAHIDAAAO&#10;AAAAZHJzL2Uyb0RvYy54bWytU0uOEzEQ3SNxB8t70p2gDEMrnVlMNGwQROKzr7jtbkv+yWXSySW4&#10;ABI7WLFkz20YjkHZnQkD7BC9KNn1eeX3qnp1dbCG7WVE7V3L57OaM+mE77TrW/7m9c2jS84wgevA&#10;eCdbfpTIr9YPH6zG0MiFH7zpZGQE4rAZQ8uHlEJTVSgGaQFnPkhHQeWjhUTX2FddhJHQrakWdX1R&#10;jT52IXohEcm7mYJ8XfCVkiK9VAplYqbl9LZUbCx2l221XkHTRwiDFqdnwD+8woJ21PQMtYEE7F3U&#10;f0FZLaJHr9JMeFt5pbSQhQOxmdd/sHk1QJCFC4mD4SwT/j9Y8WK/jUx3NDvOHFga0e2Hr9/ff/rx&#10;7SPZ2y+f2TyLNAZsKPfabePphmEbM+ODipYpo8PbjJE9xIodisTHs8TykJgg53Jx8eTxYsmZoNj8&#10;ab0sI6gmmFwcIqZn0luWDy032mUFoIH9c0zUmlLvUrLb+RttTJmicWy8w2QCaJmUgUSdbCB66HrO&#10;wPS0pSLFAone6C6XZyCM/e7aRLaHvCnly7yp3W9pufcGcJjySmjaIasTLbLRtuWX96uNI5Cs3qRX&#10;Pu18dywyFj8NtrQ5LWHenPv3Uv3rV1n/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MQ9/Z3WAAAA&#10;CAEAAA8AAAAAAAAAAQAgAAAAOAAAAGRycy9kb3ducmV2LnhtbFBLAQIUABQAAAAIAIdO4kB0xORx&#10;0AEAAHIDAAAOAAAAAAAAAAEAIAAAADsBAABkcnMvZTJvRG9jLnhtbFBLBQYAAAAABgAGAFkBAAB9&#10;BQAAAAA=&#10;">
            <v:path arrowok="t"/>
            <v:fill focussize="0,0"/>
            <v:stroke weight="1.5pt" color="#000000" joinstyle="miter"/>
            <v:imagedata o:title=""/>
            <o:lock v:ext="edit"/>
          </v:line>
        </w:pict>
      </w:r>
    </w:p>
    <w:p>
      <w:pPr>
        <w:widowControl/>
        <w:spacing w:line="600" w:lineRule="exact"/>
        <w:rPr>
          <w:rFonts w:ascii="仿宋_GB2312" w:hAnsi="仿宋_GB2312" w:eastAsia="仿宋_GB2312" w:cs="仿宋_GB2312"/>
          <w:color w:val="000000"/>
          <w:sz w:val="32"/>
          <w:szCs w:val="32"/>
        </w:rPr>
      </w:pPr>
      <w:r>
        <w:rPr>
          <w:rFonts w:ascii="仿宋_GB2312" w:hAnsi="仿宋_GB2312" w:eastAsia="仿宋_GB2312" w:cs="仿宋_GB2312"/>
          <w:sz w:val="32"/>
          <w:szCs w:val="32"/>
        </w:rPr>
        <w:pict>
          <v:line id="_x0000_s2051" o:spid="_x0000_s2051" o:spt="20" style="position:absolute;left:0pt;flip:y;margin-left:-1.1pt;margin-top:33.05pt;height:1.5pt;width:414.75pt;z-index:251663360;mso-width-relative:page;mso-height-relative:page;" stroked="t" coordsize="21600,21600" o:gfxdata="UEsFBgAAAAAAAAAAAAAAAAAAAAAAAFBLAwQKAAAAAACHTuJAAAAAAAAAAAAAAAAABAAAAGRycy9Q&#10;SwMEFAAAAAgAh07iQOYPkpnWAAAACAEAAA8AAABkcnMvZG93bnJldi54bWxNjzFPwzAQhXck/oN1&#10;SGytY1ekbYjTAYmRoYGBbm58TQLxOYrdtPDrOSYY372n974rd1c/iBmn2AcyoJYZCKQmuJ5aA2+v&#10;z4sNiJgsOTsEQgNfGGFX3d6UtnDhQnuc69QKLqFYWANdSmMhZWw69DYuw4jE3ilM3iaWUyvdZC9c&#10;7gepsyyX3vbEC50d8anD5rM+ewO1UigPq236eDm9f6eHQ7fW896Y+zuVPYJIeE1/YfjFZ3SomOkY&#10;zuSiGAwstOakgTxXINjf6PUKxJEPWwWyKuX/B6ofUEsDBBQAAAAIAIdO4kAP597R3gEAAH4DAAAO&#10;AAAAZHJzL2Uyb0RvYy54bWytUzuO2zAQ7QPkDgT7WJIX8q4Fy1ussWmCxEA+PU2REgH+wGEs+xK5&#10;QIB0SZUyfW6zm2NkSHl/SRdExYCfxzfz3oxWlwejyV4EUM62tJqVlAjLXads39L3765fXFACkdmO&#10;aWdFS48C6OX6+bPV6Bsxd4PTnQgESSw0o2/pEKNvigL4IAyDmfPC4qV0wbCI29AXXWAjshtdzMty&#10;UYwudD44LgDwdDNd0nXml1Lw+EZKEJHolmJtMceQ4y7FYr1iTR+YHxQ/lcH+oQrDlMWk91QbFhn5&#10;GNRfVEbx4MDJOOPOFE5KxUXWgGqq8g81bwfmRdaC5oC/twn+Hy1/vd8GorqWLimxzGCLbj//uPn0&#10;9dfPLxhvv38jy2TS6KFB7JXdhtMO/DYkxQcZDJFa+Q/Y/+wBqiIH3FT1+aKsKTkieV3Nl2f1ZLc4&#10;RMIRUM8X52dzBHBEVMuyzu0oJspE7QPEl8IZkhYt1comN1jD9q8gYhkIvYOkY+uulda5o9qS8Y6T&#10;cIaDJTWLmMl4lAq2p4TpHieWx5ApwWnVpeeJCEK/u9KB7FmamvylyjHdE1jKvWEwTLh8NQk0KuJQ&#10;a2VaevH4tbZIkpycvEurneuO2dJ8jk3OaU4Dmabo8T6/fvht1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5g+SmdYAAAAIAQAADwAAAAAAAAABACAAAAA4AAAAZHJzL2Rvd25yZXYueG1sUEsBAhQA&#10;FAAAAAgAh07iQA/n3tHeAQAAfgMAAA4AAAAAAAAAAQAgAAAAOwEAAGRycy9lMm9Eb2MueG1sUEsF&#10;BgAAAAAGAAYAWQEAAIsFAAAAAA==&#10;">
            <v:path arrowok="t"/>
            <v:fill focussize="0,0"/>
            <v:stroke weight="1.5pt" color="#000000" joinstyle="miter"/>
            <v:imagedata o:title=""/>
            <o:lock v:ext="edit"/>
          </v:line>
        </w:pict>
      </w:r>
      <w:r>
        <w:rPr>
          <w:rFonts w:hint="eastAsia" w:ascii="仿宋_GB2312" w:hAnsi="仿宋_GB2312" w:eastAsia="仿宋_GB2312" w:cs="仿宋_GB2312"/>
          <w:color w:val="000000"/>
          <w:sz w:val="32"/>
          <w:szCs w:val="32"/>
        </w:rPr>
        <w:t>湖州市公共资源交易管理办公室      2021年2月5日印发</w:t>
      </w:r>
    </w:p>
    <w:p>
      <w:pPr>
        <w:widowControl/>
        <w:spacing w:line="600" w:lineRule="exact"/>
        <w:rPr>
          <w:rFonts w:ascii="仿宋_GB2312" w:hAnsi="仿宋_GB2312" w:eastAsia="仿宋_GB2312" w:cs="仿宋_GB2312"/>
          <w:color w:val="000000"/>
          <w:sz w:val="32"/>
          <w:szCs w:val="32"/>
        </w:rPr>
      </w:pPr>
    </w:p>
    <w:sectPr>
      <w:headerReference r:id="rId7" w:type="default"/>
      <w:footerReference r:id="rId8" w:type="default"/>
      <w:pgSz w:w="11850" w:h="16783"/>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onospace">
    <w:altName w:val="Arial"/>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仿宋_GB2312" w:hAnsi="仿宋_GB2312" w:eastAsia="仿宋_GB2312" w:cs="仿宋_GB2312"/>
        <w:sz w:val="32"/>
        <w:szCs w:val="32"/>
      </w:rPr>
    </w:pPr>
    <w:r>
      <w:pict>
        <v:shape id="_x0000_s1026" o:spid="_x0000_s1026" o:spt="202" type="#_x0000_t202" style="position:absolute;left:0pt;margin-top:9.75pt;height:18.55pt;width:43.7pt;mso-position-horizontal:outside;mso-position-horizontal-relative:margin;z-index:251659264;mso-width-relative:page;mso-height-relative:page;" filled="f" stroked="f" coordsize="21600,21600" o:gfxdata="UEsFBgAAAAAAAAAAAAAAAAAAAAAAAFBLAwQKAAAAAACHTuJAAAAAAAAAAAAAAAAABAAAAGRycy9Q&#10;SwMEFAAAAAgAh07iQJh8mUHVAAAABQEAAA8AAABkcnMvZG93bnJldi54bWxNj81OwzAQhO9IvIO1&#10;lbhRu4iGNo1TIQQnJEQaDhydeJtYjdchdn94e5YTHHdmNPNtsb34QZxwii6QhsVcgUBqg3XUafio&#10;X25XIGIyZM0QCDV8Y4RteX1VmNyGM1V42qVOcAnF3GjoUxpzKWPbozdxHkYk9vZh8ibxOXXSTubM&#10;5X6Qd0pl0htHvNCbEZ96bA+7o9fw+EnVs/t6a96rfeXqeq3oNTtofTNbqA2IhJf0F4ZffEaHkpma&#10;cCQbxaCBH0msrpcg2F093INoNCyzDGRZyP/05Q9QSwMEFAAAAAgAh07iQGljHdm1AQAASwMAAA4A&#10;AABkcnMvZTJvRG9jLnhtbK1TzY7TMBC+I+07WL5v3QaCdqOmK9BqEdIKkBYewHXsxpLtMbbbpC+w&#10;vAEnLtx5rj4HY7fp8nNDXJzJzOSb7/vGWd6M1pCdDFGDa+liNqdEOgGddpuWfvp4d3lFSUzcddyA&#10;ky3dy0hvVhfPloNvZAU9mE4GgiAuNoNvaZ+SbxiLopeWxxl46bCoIFie8DVsWBf4gOjWsGo+f8kG&#10;CJ0PIGSMmL09Fumq4CslRXqvVJSJmJYit1TOUM51PtlqyZtN4L7X4kSD/wMLy7XDoWeoW5442Qb9&#10;F5TVIkAElWYCLAOltJBFA6pZzP9Q89BzL4sWNCf6s03x/8GKd7sPgeiupRUljltc0eHrl8O3H4fv&#10;j6TK9gw+Ntj14LEvja9hxDVP+YjJrHpUweYn6iFYR6P3Z3PlmIjAZF2/uL7GisBS9byur+qMwp4+&#10;9iGmNxIsyUFLA+6uWMp39zEdW6eWPMvBnTam7M+43xKImTMsMz8yzFEa1+NJzhq6PaoZcO0tjZ+3&#10;PEhKzFuHvuY7MgVhCtZTsPVBb3oktyjMHLzaJlC6sMszjsCn0bixou90u/KV+PW9dD39A6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FgAA&#10;AGRycy9QSwECFAAUAAAACACHTuJAmHyZQdUAAAAFAQAADwAAAAAAAAABACAAAAA4AAAAZHJzL2Rv&#10;d25yZXYueG1sUEsBAhQAFAAAAAgAh07iQGljHdm1AQAASwMAAA4AAAAAAAAAAQAgAAAAOgEAAGRy&#10;cy9lMm9Eb2MueG1sUEsFBgAAAAAGAAYAWQEAAGEFAAAAAA==&#10;">
          <v:path/>
          <v:fill on="f" focussize="0,0"/>
          <v:stroke on="f" joinstyle="miter"/>
          <v:imagedata o:title=""/>
          <o:lock v:ext="edit"/>
          <v:textbox inset="0mm,0mm,0mm,0mm">
            <w:txbxContent>
              <w:p>
                <w:pPr>
                  <w:pStyle w:val="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- 10 -</w:t>
                </w:r>
                <w:r>
                  <w:rPr>
                    <w:rFonts w:hint="eastAsia" w:asciiTheme="minorEastAsia" w:hAnsiTheme="minorEastAsia" w:eastAsiaTheme="minorEastAsia" w:cstheme="minorEastAsia"/>
                    <w:sz w:val="28"/>
                    <w:szCs w:val="28"/>
                  </w:rPr>
                  <w:fldChar w:fldCharType="end"/>
                </w:r>
              </w:p>
            </w:txbxContent>
          </v:textbox>
        </v:shape>
      </w:pic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pict>
        <v:shape id="_x0000_s3076" o:spid="_x0000_s3076" o:spt="202" type="#_x0000_t202" style="position:absolute;left:0pt;margin-top:0pt;height:17.55pt;width:45.45pt;mso-position-horizontal:outside;mso-position-horizontal-relative:margin;z-index:251662336;mso-width-relative:page;mso-height-relative:page;" filled="f" stroked="f" coordsize="21600,21600" o:gfxdata="UEsFBgAAAAAAAAAAAAAAAAAAAAAAAFBLAwQKAAAAAACHTuJAAAAAAAAAAAAAAAAABAAAAGRycy9Q&#10;SwMEFAAAAAgAh07iQHCMYL/TAAAAAwEAAA8AAABkcnMvZG93bnJldi54bWxNj0tPwzAQhO9I/Adr&#10;kbhROyAQDXF64HHjWahUbk68JBH2OrI3afn3GC5wWWk0o5lvq9XeOzFjTEMgDcVCgUBqgx2o0/D2&#10;endyCSKxIWtcINTwhQlW9eFBZUobdvSC85o7kUsolUZDzzyWUqa2R2/SIoxI2fsI0RvOMnbSRrPL&#10;5d7JU6UupDcD5YXejHjdY/u5nrwGt03xvlH8Pt90D/z8JKfNbfGo9fFRoa5AMO75Lww/+Bkd6szU&#10;hIlsEk5DfoR/b/aWagmi0XB2XoCsK/mfvf4GUEsDBBQAAAAIAIdO4kAz1UIbGgIAABMEAAAOAAAA&#10;ZHJzL2Uyb0RvYy54bWytU02O0zAU3iNxB8t7mrao06pqOiozKkKqmJEKYu06dmPJ9jO226QcAG7A&#10;ig17ztVz8Ow0HQSsEBvn5f36+97nxW1rNDkKHxTYko4GQ0qE5VApuy/p+3frFzNKQmS2YhqsKOlJ&#10;BHq7fP5s0bi5GEMNuhKeYBMb5o0raR2jmxdF4LUwLAzACYtBCd6wiL9+X1SeNdjd6GI8HN4UDfjK&#10;eeAiBPTed0G6zP2lFDw+SBlEJLqkeLeYT5/PXTqL5YLN9565WvHLNdg/3MIwZXHotdU9i4wcvPqj&#10;lVHcQwAZBxxMAVIqLjIGRDMa/oZmWzMnMhYkJ7grTeH/teVvj4+eqKqkU0osM7ii89cv528/zt8/&#10;k2mip3Fhjllbh3mxfQUtrrn3B3Qm1K30Jn0RD8E4En26kivaSDg6J9PpeDShhGNoPB7PZpPUpXgq&#10;dj7E1wIMSUZJPe4uU8qOmxC71D4lzbKwVlrn/WlLmpLevJwMc8E1gs21xRkJQnfVZMV2115w7aA6&#10;ISwPnS6C42uFwzcsxEfmUQiIBMUdH/CQGnAIXCxKavCf/uZP+bgfjFLSoLBKGj4emBeU6DcWN5dU&#10;2Bu+N3a9YQ/mDlCrI3w2jmcTC3zUvSk9mA+o+VWagiFmOc4qaezNu9jJG98MF6tVTjo4r/Z1V4C6&#10;cyxu7NbxNKajcnWIIFVmOVHU8XJhDpWX93R5JUnav/7nrKe3vPw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cIxgv9MAAAADAQAADwAAAAAAAAABACAAAAA4AAAAZHJzL2Rvd25yZXYueG1sUEsBAhQA&#10;FAAAAAgAh07iQDPVQhsaAgAAEwQAAA4AAAAAAAAAAQAgAAAAOAEAAGRycy9lMm9Eb2MueG1sUEsF&#10;BgAAAAAGAAYAWQEAAMQFAAAAAA==&#10;">
          <v:path/>
          <v:fill on="f" focussize="0,0"/>
          <v:stroke on="f" weight="0.5pt" joinstyle="miter"/>
          <v:imagedata o:title=""/>
          <o:lock v:ext="edit"/>
          <v:textbox inset="0mm,0mm,0mm,0mm">
            <w:txbxContent>
              <w:p>
                <w:pPr>
                  <w:pStyle w:val="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- 12 -</w:t>
                </w:r>
                <w:r>
                  <w:rPr>
                    <w:rFonts w:hint="eastAsia" w:asciiTheme="minorEastAsia" w:hAnsiTheme="minorEastAsia" w:eastAsiaTheme="minorEastAsia" w:cstheme="minorEastAsia"/>
                    <w:sz w:val="28"/>
                    <w:szCs w:val="28"/>
                  </w:rPr>
                  <w:fldChar w:fldCharType="end"/>
                </w:r>
              </w:p>
            </w:txbxContent>
          </v:textbox>
        </v:shape>
      </w:pict>
    </w:r>
    <w:r>
      <w:pict>
        <v:shape id="_x0000_s3075" o:spid="_x0000_s3075" o:spt="202" type="#_x0000_t202" style="position:absolute;left:0pt;margin-top:0pt;height:144pt;width:144pt;mso-position-horizontal:right;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e0JkVFAIAABMEAAAOAAAAZHJz&#10;L2Uyb0RvYy54bWytU02O0zAU3iNxB8t7mrSoo6pqOiozKkKqmJEKYu06dmPJ9rNst0k5ANyAFRv2&#10;nKvnmGen6SBghdg4X/z+v/d5cdsZTY7CBwW2ouNRSYmwHGpl9xX9+GH9akZJiMzWTIMVFT2JQG+X&#10;L18sWjcXE2hA18ITTGLDvHUVbWJ086IIvBGGhRE4YdEowRsW8dfvi9qzFrMbXUzK8qZowdfOAxch&#10;4O19b6TLnF9KweODlEFEoiuKvcV8+nzu0lksF2y+98w1il/aYP/QhWHKYtFrqnsWGTl49Ucqo7iH&#10;ADKOOJgCpFRc5BlwmnH52zTbhjmRZ0FygrvSFP5fWv7++OiJqis6pcQygys6f/t6/v7z/OMLmSZ6&#10;Whfm6LV16Be7N9Dhmof7gJdp6k56k744D0E7En26kiu6SHgKmk1msxJNHG3DD+YvnsOdD/GtAEMS&#10;qKjH7WVS2XETYu86uKRqFtZK67xBbUlb0ZvX0zIHXC2YXFuskYbom00odrvuMtkO6hMO5qFXRnB8&#10;rbD4hoX4yDxKARtGeccHPKQGLAIXREkD/vPf7pM/bgitlLQorYpa1D4l+p3FzSUVDsAPYDcAezB3&#10;gFod47NxPEMM8FEPUHown1Dzq1QDTcxyrFTROMC72Msb3wwXq1V2Ojiv9k0fgLpzLG7s1vFUJhEZ&#10;3OoQkczMcSKoZ+XCGyovb+nySpK0f/3PXs9vefk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F7QmRUUAgAAEwQAAA4AAAAAAAAAAQAgAAAANQEAAGRycy9lMm9Eb2MueG1sUEsFBgAAAAAGAAYA&#10;WQEAALsFAAAAAA==&#10;">
          <v:path/>
          <v:fill on="f" focussize="0,0"/>
          <v:stroke on="f" weight="0.5pt" joinstyle="miter"/>
          <v:imagedata o:title=""/>
          <o:lock v:ext="edit"/>
          <v:textbox inset="0mm,0mm,0mm,0mm" style="mso-fit-shape-to-text:t;">
            <w:txbxContent>
              <w:p>
                <w:pPr>
                  <w:pStyle w:val="6"/>
                  <w:jc w:val="center"/>
                </w:pPr>
              </w:p>
              <w:p/>
            </w:txbxContent>
          </v:textbox>
        </v:shape>
      </w:pict>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pict>
        <v:shape id="_x0000_s3074" o:spid="_x0000_s3074"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myYHKEgIAABMEAAAOAAAAZHJz&#10;L2Uyb0RvYy54bWytU02O0zAY3SNxB8t7mrSIUVQ1HZUZFSFVzEgFsXYdp4nkP9luk3IAuAErNuw5&#10;V8/Bs9N0ELBCbJwXf//ve17c9kqSo3C+Nbqk00lOidDcVK3el/TD+/WLghIfmK6YNFqU9CQ8vV0+&#10;f7bo7FzMTGNkJRxBEu3nnS1pE4KdZ5nnjVDMT4wVGsbaOMUCft0+qxzrkF3JbJbnN1lnXGWd4cJ7&#10;3N4PRrpM+eta8PBQ114EIkuK3kI6XTp38cyWCzbfO2abll/aYP/QhWKtRtFrqnsWGDm49o9UquXO&#10;eFOHCTcqM3XdcpFmwDTT/Ldptg2zIs0Ccry90uT/X1r+7vjoSFuVFIvSTGFF569fzt9+nL9/JkWk&#10;p7N+Dq+thV/oX5seax7vPS7j1H3tVPxiHgI7iD5dyRV9IDwGFbOiyGHisI0/yJ89hVvnwxthFImg&#10;pA7bS6Sy48aHwXV0idW0WbdSpg1KTbqS3rx8laeAqwXJpUaNOMTQbESh3/WXyXamOmEwZwZleMvX&#10;LYpvmA+PzEEKaBjyDg84amlQxFwQJY1xn/52H/2xIVgp6SCtkmponxL5VmNzUYUjcCPYjUAf1J2B&#10;Vqd4NpYniAAX5AhrZ9RHaH4Va8DENEelkoYR3oVB3ngzXKxWyelgXbtvhgDozrKw0VvLY5lIpLer&#10;QwCZieNI0MDKhTcoL23p8kqitH/9T15Pb3n5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Dm&#10;yYHKEgIAABMEAAAOAAAAAAAAAAEAIAAAADUBAABkcnMvZTJvRG9jLnhtbFBLBQYAAAAABgAGAFkB&#10;AAC5BQAAAAA=&#10;">
          <v:path/>
          <v:fill on="f" focussize="0,0"/>
          <v:stroke on="f" weight="0.5pt" joinstyle="miter"/>
          <v:imagedata o:title=""/>
          <o:lock v:ext="edit"/>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- 35 -</w:t>
                </w:r>
                <w:r>
                  <w:rPr>
                    <w:rFonts w:hint="eastAsia"/>
                  </w:rPr>
                  <w:fldChar w:fldCharType="end"/>
                </w:r>
              </w:p>
            </w:txbxContent>
          </v:textbox>
        </v:shape>
      </w:pict>
    </w:r>
    <w:r>
      <w:pict>
        <v:shape id="_x0000_s3073" o:spid="_x0000_s3073" o:spt="202" type="#_x0000_t202" style="position:absolute;left:0pt;margin-top:0pt;height:144pt;width:144pt;mso-position-horizontal:right;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1yZaEwIAABMEAAAOAAAAZHJz&#10;L2Uyb0RvYy54bWytU8uO0zAU3SPxD5b3NGkRVVU1HZUZFSFVzEgFsXYdp4nkl2y3SfkA+ANWbNjz&#10;Xf0Ojp2mg5hZITbOje/znHu8uOmUJEfhfGN0QcejnBKhuSkbvS/op4/rVzNKfGC6ZNJoUdCT8PRm&#10;+fLForVzMTG1kaVwBEW0n7e2oHUIdp5lntdCMT8yVmg4K+MUC/h1+6x0rEV1JbNJnk+z1rjSOsOF&#10;97i96510mepXleDhvqq8CEQWFLOFdLp07uKZLRdsvnfM1g2/jMH+YQrFGo2m11J3LDBycM2TUqrh&#10;znhThRE3KjNV1XCRMADNOP8LzbZmViQsIMfbK03+/5XlH44PjjRlQaeUaKawovP3b+cfv84/v5Jp&#10;pKe1fo6orUVc6N6aDmse7j0uI+qucip+gYfAD6JPV3JFFwiPSbPJbJbDxeEbflA/e0y3zod3wigS&#10;jYI6bC+Ryo4bH/rQISR202bdSJk2KDVpAeH1mzwlXD0oLjV6RBD9sNEK3a67INuZ8gRgzvTK8Jav&#10;GzTfMB8emIMUMDDkHe5xVNKgiblYlNTGfXnuPsZjQ/BS0kJaBdXQPiXyvcbmogoHww3GbjD0Qd0a&#10;aHWMZ2N5MpHgghzMyhn1GZpfxR5wMc3RqaBhMG9DL2+8GS5WqxR0sK7Z130CdGdZ2Oit5bFNJNLb&#10;1SGAzMRxJKhn5cIblJe2dHklUdp//qeox7e8/A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EdcmWhMCAAATBAAADgAAAAAAAAABACAAAAA1AQAAZHJzL2Uyb0RvYy54bWxQSwUGAAAAAAYABgBZ&#10;AQAAugUAAAAA&#10;">
          <v:path/>
          <v:fill on="f" focussize="0,0"/>
          <v:stroke on="f" weight="0.5pt" joinstyle="miter"/>
          <v:imagedata o:title=""/>
          <o:lock v:ext="edit"/>
          <v:textbox inset="0mm,0mm,0mm,0mm" style="mso-fit-shape-to-text:t;">
            <w:txbxContent>
              <w:sdt>
                <w:sdtPr>
                  <w:id w:val="7244281"/>
                </w:sdtPr>
                <w:sdtContent>
                  <w:p>
                    <w:pPr>
                      <w:pStyle w:val="6"/>
                      <w:jc w:val="center"/>
                    </w:pPr>
                  </w:p>
                </w:sdtContent>
              </w:sdt>
              <w:p/>
            </w:txbxContent>
          </v:textbox>
        </v:shape>
      </w:pic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CB32FDC"/>
    <w:rsid w:val="00013ABC"/>
    <w:rsid w:val="00091CA0"/>
    <w:rsid w:val="00095879"/>
    <w:rsid w:val="000D5A09"/>
    <w:rsid w:val="000F4491"/>
    <w:rsid w:val="00100E77"/>
    <w:rsid w:val="00117B88"/>
    <w:rsid w:val="00157E5C"/>
    <w:rsid w:val="0019695D"/>
    <w:rsid w:val="001972C3"/>
    <w:rsid w:val="001E686B"/>
    <w:rsid w:val="001F0EC9"/>
    <w:rsid w:val="00203983"/>
    <w:rsid w:val="00240959"/>
    <w:rsid w:val="00275510"/>
    <w:rsid w:val="002F40BB"/>
    <w:rsid w:val="003D52D5"/>
    <w:rsid w:val="003E1B01"/>
    <w:rsid w:val="003F2EFA"/>
    <w:rsid w:val="004062B0"/>
    <w:rsid w:val="00412ADD"/>
    <w:rsid w:val="004748A8"/>
    <w:rsid w:val="004C51E7"/>
    <w:rsid w:val="00540714"/>
    <w:rsid w:val="005E5936"/>
    <w:rsid w:val="00610251"/>
    <w:rsid w:val="006775FA"/>
    <w:rsid w:val="006F319C"/>
    <w:rsid w:val="007214AE"/>
    <w:rsid w:val="00776ACB"/>
    <w:rsid w:val="007F7179"/>
    <w:rsid w:val="0083200D"/>
    <w:rsid w:val="00933437"/>
    <w:rsid w:val="00977EFE"/>
    <w:rsid w:val="009A4163"/>
    <w:rsid w:val="009F73C4"/>
    <w:rsid w:val="00A012D5"/>
    <w:rsid w:val="00A03C1F"/>
    <w:rsid w:val="00A23B85"/>
    <w:rsid w:val="00A23E8D"/>
    <w:rsid w:val="00A25335"/>
    <w:rsid w:val="00A67B9C"/>
    <w:rsid w:val="00B4345A"/>
    <w:rsid w:val="00BB2E05"/>
    <w:rsid w:val="00BC5746"/>
    <w:rsid w:val="00C542F9"/>
    <w:rsid w:val="00CE4DA1"/>
    <w:rsid w:val="00DB659E"/>
    <w:rsid w:val="00DC328E"/>
    <w:rsid w:val="00DC57CC"/>
    <w:rsid w:val="00DC6EC7"/>
    <w:rsid w:val="00DE6B00"/>
    <w:rsid w:val="00E2252B"/>
    <w:rsid w:val="00E24F89"/>
    <w:rsid w:val="00E4133A"/>
    <w:rsid w:val="00E439B8"/>
    <w:rsid w:val="00E627E9"/>
    <w:rsid w:val="01745149"/>
    <w:rsid w:val="019B16D0"/>
    <w:rsid w:val="03021A2F"/>
    <w:rsid w:val="038A1E66"/>
    <w:rsid w:val="06173D03"/>
    <w:rsid w:val="078240B3"/>
    <w:rsid w:val="07D014E5"/>
    <w:rsid w:val="08E56CAA"/>
    <w:rsid w:val="0A1C3785"/>
    <w:rsid w:val="0A5F3130"/>
    <w:rsid w:val="0A6B075F"/>
    <w:rsid w:val="0AD36A8A"/>
    <w:rsid w:val="0B3E4ACE"/>
    <w:rsid w:val="0B9D5AF5"/>
    <w:rsid w:val="0C746A39"/>
    <w:rsid w:val="0DD0082D"/>
    <w:rsid w:val="0ED84197"/>
    <w:rsid w:val="0F903010"/>
    <w:rsid w:val="0FD42FC4"/>
    <w:rsid w:val="101F2D0F"/>
    <w:rsid w:val="10856880"/>
    <w:rsid w:val="11CC4A3F"/>
    <w:rsid w:val="134110C9"/>
    <w:rsid w:val="13CC6B17"/>
    <w:rsid w:val="146D42A1"/>
    <w:rsid w:val="154C6D43"/>
    <w:rsid w:val="15507725"/>
    <w:rsid w:val="16B439C9"/>
    <w:rsid w:val="19162A0C"/>
    <w:rsid w:val="19515536"/>
    <w:rsid w:val="1A40509A"/>
    <w:rsid w:val="1D47380F"/>
    <w:rsid w:val="1D967B48"/>
    <w:rsid w:val="1F315491"/>
    <w:rsid w:val="201A186D"/>
    <w:rsid w:val="201B42E6"/>
    <w:rsid w:val="239609FC"/>
    <w:rsid w:val="24E254EE"/>
    <w:rsid w:val="26A75680"/>
    <w:rsid w:val="279F2AAD"/>
    <w:rsid w:val="27A26416"/>
    <w:rsid w:val="2803548D"/>
    <w:rsid w:val="28AB1869"/>
    <w:rsid w:val="29F07E8B"/>
    <w:rsid w:val="29FF4C24"/>
    <w:rsid w:val="2A62540D"/>
    <w:rsid w:val="2B66521E"/>
    <w:rsid w:val="2BA81689"/>
    <w:rsid w:val="2C5E61F7"/>
    <w:rsid w:val="2CB32FDC"/>
    <w:rsid w:val="2F13685A"/>
    <w:rsid w:val="320437E9"/>
    <w:rsid w:val="33B7501D"/>
    <w:rsid w:val="347850BE"/>
    <w:rsid w:val="362C0660"/>
    <w:rsid w:val="371C4F88"/>
    <w:rsid w:val="37597CDE"/>
    <w:rsid w:val="37CF7F17"/>
    <w:rsid w:val="37FFFC45"/>
    <w:rsid w:val="39524875"/>
    <w:rsid w:val="39845E37"/>
    <w:rsid w:val="3B0D511D"/>
    <w:rsid w:val="3FE30C58"/>
    <w:rsid w:val="40B16FDB"/>
    <w:rsid w:val="410B5019"/>
    <w:rsid w:val="41BE0472"/>
    <w:rsid w:val="423E0C6D"/>
    <w:rsid w:val="42C36AF6"/>
    <w:rsid w:val="43724843"/>
    <w:rsid w:val="45AF27CC"/>
    <w:rsid w:val="468E5770"/>
    <w:rsid w:val="48D904A1"/>
    <w:rsid w:val="4C1B1DEF"/>
    <w:rsid w:val="4C613D8F"/>
    <w:rsid w:val="4CA109BC"/>
    <w:rsid w:val="4DB71725"/>
    <w:rsid w:val="50526042"/>
    <w:rsid w:val="5215666D"/>
    <w:rsid w:val="52256DF4"/>
    <w:rsid w:val="54C71A2A"/>
    <w:rsid w:val="58180D6D"/>
    <w:rsid w:val="59414572"/>
    <w:rsid w:val="59465C2D"/>
    <w:rsid w:val="59F10AE4"/>
    <w:rsid w:val="59F34E02"/>
    <w:rsid w:val="5D125218"/>
    <w:rsid w:val="5DDC245B"/>
    <w:rsid w:val="5E5C1535"/>
    <w:rsid w:val="600B6C7E"/>
    <w:rsid w:val="613D4829"/>
    <w:rsid w:val="618A7F85"/>
    <w:rsid w:val="631B0F20"/>
    <w:rsid w:val="63B55E9E"/>
    <w:rsid w:val="64F036B7"/>
    <w:rsid w:val="65C55BFD"/>
    <w:rsid w:val="68C477B6"/>
    <w:rsid w:val="694B690C"/>
    <w:rsid w:val="69827298"/>
    <w:rsid w:val="6A98414C"/>
    <w:rsid w:val="6BAA3F67"/>
    <w:rsid w:val="6C6E132B"/>
    <w:rsid w:val="6C7834B2"/>
    <w:rsid w:val="6DBE7B7D"/>
    <w:rsid w:val="6E8E165B"/>
    <w:rsid w:val="71B97F40"/>
    <w:rsid w:val="722B244A"/>
    <w:rsid w:val="75336524"/>
    <w:rsid w:val="761F5E76"/>
    <w:rsid w:val="77CE1020"/>
    <w:rsid w:val="78C66B5E"/>
    <w:rsid w:val="7A441FF7"/>
    <w:rsid w:val="7A9C3039"/>
    <w:rsid w:val="7B427C84"/>
    <w:rsid w:val="7CD47149"/>
    <w:rsid w:val="7CE36A44"/>
    <w:rsid w:val="7D37703B"/>
    <w:rsid w:val="7D97288B"/>
    <w:rsid w:val="7E1B6D7F"/>
    <w:rsid w:val="7E717B90"/>
    <w:rsid w:val="7E9F2466"/>
    <w:rsid w:val="7F121071"/>
    <w:rsid w:val="7F583D9B"/>
    <w:rsid w:val="9CEEC883"/>
    <w:rsid w:val="BB5F1D93"/>
    <w:rsid w:val="BFFD4CC3"/>
    <w:rsid w:val="EABD8E57"/>
    <w:rsid w:val="F1EA3B18"/>
    <w:rsid w:val="FAD96DD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11">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27"/>
    <w:qFormat/>
    <w:uiPriority w:val="0"/>
    <w:pPr>
      <w:jc w:val="left"/>
    </w:pPr>
  </w:style>
  <w:style w:type="paragraph" w:styleId="4">
    <w:name w:val="Plain Text"/>
    <w:basedOn w:val="1"/>
    <w:uiPriority w:val="0"/>
    <w:rPr>
      <w:rFonts w:ascii="宋体" w:hAnsi="Courier New" w:cs="Courier New"/>
      <w:szCs w:val="21"/>
    </w:rPr>
  </w:style>
  <w:style w:type="paragraph" w:styleId="5">
    <w:name w:val="Balloon Text"/>
    <w:basedOn w:val="1"/>
    <w:link w:val="29"/>
    <w:qFormat/>
    <w:uiPriority w:val="0"/>
    <w:rPr>
      <w:sz w:val="18"/>
      <w:szCs w:val="18"/>
    </w:rPr>
  </w:style>
  <w:style w:type="paragraph" w:styleId="6">
    <w:name w:val="footer"/>
    <w:basedOn w:val="1"/>
    <w:link w:val="26"/>
    <w:qFormat/>
    <w:uiPriority w:val="99"/>
    <w:pPr>
      <w:tabs>
        <w:tab w:val="center" w:pos="4153"/>
        <w:tab w:val="right" w:pos="8306"/>
      </w:tabs>
      <w:snapToGrid w:val="0"/>
      <w:jc w:val="left"/>
    </w:pPr>
    <w:rPr>
      <w:sz w:val="18"/>
      <w:szCs w:val="18"/>
    </w:rPr>
  </w:style>
  <w:style w:type="paragraph" w:styleId="7">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jc w:val="left"/>
    </w:pPr>
    <w:rPr>
      <w:rFonts w:cs="Times New Roman"/>
      <w:kern w:val="0"/>
      <w:sz w:val="24"/>
    </w:rPr>
  </w:style>
  <w:style w:type="paragraph" w:styleId="9">
    <w:name w:val="annotation subject"/>
    <w:basedOn w:val="3"/>
    <w:next w:val="3"/>
    <w:link w:val="28"/>
    <w:qFormat/>
    <w:uiPriority w:val="0"/>
    <w:rPr>
      <w:b/>
      <w:bCs/>
    </w:rPr>
  </w:style>
  <w:style w:type="character" w:styleId="12">
    <w:name w:val="Strong"/>
    <w:basedOn w:val="11"/>
    <w:qFormat/>
    <w:uiPriority w:val="0"/>
  </w:style>
  <w:style w:type="character" w:styleId="13">
    <w:name w:val="FollowedHyperlink"/>
    <w:basedOn w:val="11"/>
    <w:qFormat/>
    <w:uiPriority w:val="0"/>
    <w:rPr>
      <w:color w:val="800080"/>
      <w:u w:val="none"/>
    </w:rPr>
  </w:style>
  <w:style w:type="character" w:styleId="14">
    <w:name w:val="Emphasis"/>
    <w:basedOn w:val="11"/>
    <w:qFormat/>
    <w:uiPriority w:val="0"/>
  </w:style>
  <w:style w:type="character" w:styleId="15">
    <w:name w:val="HTML Definition"/>
    <w:basedOn w:val="11"/>
    <w:qFormat/>
    <w:uiPriority w:val="0"/>
  </w:style>
  <w:style w:type="character" w:styleId="16">
    <w:name w:val="HTML Typewriter"/>
    <w:basedOn w:val="11"/>
    <w:qFormat/>
    <w:uiPriority w:val="0"/>
    <w:rPr>
      <w:rFonts w:hint="default" w:ascii="monospace" w:hAnsi="monospace" w:eastAsia="monospace" w:cs="monospace"/>
      <w:sz w:val="20"/>
    </w:rPr>
  </w:style>
  <w:style w:type="character" w:styleId="17">
    <w:name w:val="HTML Acronym"/>
    <w:basedOn w:val="11"/>
    <w:qFormat/>
    <w:uiPriority w:val="0"/>
  </w:style>
  <w:style w:type="character" w:styleId="18">
    <w:name w:val="HTML Variable"/>
    <w:basedOn w:val="11"/>
    <w:qFormat/>
    <w:uiPriority w:val="0"/>
  </w:style>
  <w:style w:type="character" w:styleId="19">
    <w:name w:val="Hyperlink"/>
    <w:basedOn w:val="11"/>
    <w:qFormat/>
    <w:uiPriority w:val="0"/>
    <w:rPr>
      <w:color w:val="0000FF"/>
      <w:u w:val="none"/>
    </w:rPr>
  </w:style>
  <w:style w:type="character" w:styleId="20">
    <w:name w:val="HTML Code"/>
    <w:basedOn w:val="11"/>
    <w:qFormat/>
    <w:uiPriority w:val="0"/>
    <w:rPr>
      <w:rFonts w:hint="default" w:ascii="monospace" w:hAnsi="monospace" w:eastAsia="monospace" w:cs="monospace"/>
      <w:sz w:val="20"/>
    </w:rPr>
  </w:style>
  <w:style w:type="character" w:styleId="21">
    <w:name w:val="annotation reference"/>
    <w:basedOn w:val="11"/>
    <w:qFormat/>
    <w:uiPriority w:val="0"/>
    <w:rPr>
      <w:sz w:val="21"/>
      <w:szCs w:val="21"/>
    </w:rPr>
  </w:style>
  <w:style w:type="character" w:styleId="22">
    <w:name w:val="HTML Cite"/>
    <w:basedOn w:val="11"/>
    <w:qFormat/>
    <w:uiPriority w:val="0"/>
  </w:style>
  <w:style w:type="character" w:styleId="23">
    <w:name w:val="HTML Keyboard"/>
    <w:basedOn w:val="11"/>
    <w:qFormat/>
    <w:uiPriority w:val="0"/>
    <w:rPr>
      <w:rFonts w:ascii="monospace" w:hAnsi="monospace" w:eastAsia="monospace" w:cs="monospace"/>
      <w:sz w:val="20"/>
    </w:rPr>
  </w:style>
  <w:style w:type="character" w:styleId="24">
    <w:name w:val="HTML Sample"/>
    <w:basedOn w:val="11"/>
    <w:qFormat/>
    <w:uiPriority w:val="0"/>
    <w:rPr>
      <w:rFonts w:hint="default" w:ascii="monospace" w:hAnsi="monospace" w:eastAsia="monospace" w:cs="monospace"/>
    </w:rPr>
  </w:style>
  <w:style w:type="character" w:customStyle="1" w:styleId="25">
    <w:name w:val="页眉 Char"/>
    <w:basedOn w:val="11"/>
    <w:link w:val="7"/>
    <w:qFormat/>
    <w:uiPriority w:val="0"/>
    <w:rPr>
      <w:rFonts w:ascii="Calibri" w:hAnsi="Calibri" w:cs="宋体"/>
      <w:kern w:val="2"/>
      <w:sz w:val="18"/>
      <w:szCs w:val="18"/>
    </w:rPr>
  </w:style>
  <w:style w:type="character" w:customStyle="1" w:styleId="26">
    <w:name w:val="页脚 Char"/>
    <w:basedOn w:val="11"/>
    <w:link w:val="6"/>
    <w:qFormat/>
    <w:uiPriority w:val="99"/>
    <w:rPr>
      <w:rFonts w:ascii="Calibri" w:hAnsi="Calibri" w:cs="宋体"/>
      <w:kern w:val="2"/>
      <w:sz w:val="18"/>
      <w:szCs w:val="18"/>
    </w:rPr>
  </w:style>
  <w:style w:type="character" w:customStyle="1" w:styleId="27">
    <w:name w:val="批注文字 Char"/>
    <w:basedOn w:val="11"/>
    <w:link w:val="3"/>
    <w:qFormat/>
    <w:uiPriority w:val="0"/>
    <w:rPr>
      <w:rFonts w:ascii="Calibri" w:hAnsi="Calibri" w:cs="宋体"/>
      <w:kern w:val="2"/>
      <w:sz w:val="21"/>
      <w:szCs w:val="22"/>
    </w:rPr>
  </w:style>
  <w:style w:type="character" w:customStyle="1" w:styleId="28">
    <w:name w:val="批注主题 Char"/>
    <w:basedOn w:val="27"/>
    <w:link w:val="9"/>
    <w:qFormat/>
    <w:uiPriority w:val="0"/>
    <w:rPr>
      <w:rFonts w:ascii="Calibri" w:hAnsi="Calibri" w:cs="宋体"/>
      <w:b/>
      <w:bCs/>
      <w:kern w:val="2"/>
      <w:sz w:val="21"/>
      <w:szCs w:val="22"/>
    </w:rPr>
  </w:style>
  <w:style w:type="character" w:customStyle="1" w:styleId="29">
    <w:name w:val="批注框文本 Char"/>
    <w:basedOn w:val="11"/>
    <w:link w:val="5"/>
    <w:qFormat/>
    <w:uiPriority w:val="0"/>
    <w:rPr>
      <w:rFonts w:ascii="Calibri" w:hAnsi="Calibri" w:cs="宋体"/>
      <w:kern w:val="2"/>
      <w:sz w:val="18"/>
      <w:szCs w:val="18"/>
    </w:rPr>
  </w:style>
  <w:style w:type="character" w:customStyle="1" w:styleId="30">
    <w:name w:val="font"/>
    <w:basedOn w:val="11"/>
    <w:qFormat/>
    <w:uiPriority w:val="0"/>
  </w:style>
  <w:style w:type="character" w:customStyle="1" w:styleId="31">
    <w:name w:val="font1"/>
    <w:basedOn w:val="11"/>
    <w:qFormat/>
    <w:uiPriority w:val="0"/>
  </w:style>
  <w:style w:type="character" w:customStyle="1" w:styleId="32">
    <w:name w:val="m01"/>
    <w:basedOn w:val="11"/>
    <w:qFormat/>
    <w:uiPriority w:val="0"/>
  </w:style>
  <w:style w:type="character" w:customStyle="1" w:styleId="33">
    <w:name w:val="m011"/>
    <w:basedOn w:val="11"/>
    <w:qFormat/>
    <w:uiPriority w:val="0"/>
  </w:style>
  <w:style w:type="character" w:customStyle="1" w:styleId="34">
    <w:name w:val="bg02"/>
    <w:basedOn w:val="11"/>
    <w:qFormat/>
    <w:uiPriority w:val="0"/>
  </w:style>
  <w:style w:type="character" w:customStyle="1" w:styleId="35">
    <w:name w:val="name"/>
    <w:basedOn w:val="11"/>
    <w:qFormat/>
    <w:uiPriority w:val="0"/>
    <w:rPr>
      <w:color w:val="6A6A6A"/>
      <w:u w:val="single"/>
    </w:rPr>
  </w:style>
  <w:style w:type="character" w:customStyle="1" w:styleId="36">
    <w:name w:val="dates"/>
    <w:basedOn w:val="11"/>
    <w:qFormat/>
    <w:uiPriority w:val="0"/>
  </w:style>
  <w:style w:type="character" w:customStyle="1" w:styleId="37">
    <w:name w:val="tabg"/>
    <w:basedOn w:val="11"/>
    <w:qFormat/>
    <w:uiPriority w:val="0"/>
    <w:rPr>
      <w:color w:val="FFFFFF"/>
      <w:sz w:val="27"/>
      <w:szCs w:val="27"/>
    </w:rPr>
  </w:style>
  <w:style w:type="character" w:customStyle="1" w:styleId="38">
    <w:name w:val="bg01"/>
    <w:basedOn w:val="11"/>
    <w:qFormat/>
    <w:uiPriority w:val="0"/>
  </w:style>
  <w:style w:type="character" w:customStyle="1" w:styleId="39">
    <w:name w:val="more4"/>
    <w:basedOn w:val="11"/>
    <w:qFormat/>
    <w:uiPriority w:val="0"/>
    <w:rPr>
      <w:color w:val="666666"/>
      <w:sz w:val="18"/>
      <w:szCs w:val="18"/>
    </w:rPr>
  </w:style>
  <w:style w:type="character" w:customStyle="1" w:styleId="40">
    <w:name w:val="hover18"/>
    <w:basedOn w:val="11"/>
    <w:qFormat/>
    <w:uiPriority w:val="0"/>
    <w:rPr>
      <w:color w:val="015293"/>
    </w:rPr>
  </w:style>
  <w:style w:type="character" w:customStyle="1" w:styleId="41">
    <w:name w:val="laypage_curr"/>
    <w:basedOn w:val="11"/>
    <w:qFormat/>
    <w:uiPriority w:val="0"/>
    <w:rPr>
      <w:color w:val="FFFDF4"/>
      <w:shd w:val="clear" w:color="auto" w:fill="0B67A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3076"/>
    <customShpInfo spid="_x0000_s3075"/>
    <customShpInfo spid="_x0000_s3074"/>
    <customShpInfo spid="_x0000_s3073"/>
    <customShpInfo spid="_x0000_s2050"/>
    <customShpInfo spid="_x0000_s2052"/>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35</Pages>
  <Words>2457</Words>
  <Characters>14008</Characters>
  <Lines>116</Lines>
  <Paragraphs>32</Paragraphs>
  <TotalTime>94</TotalTime>
  <ScaleCrop>false</ScaleCrop>
  <LinksUpToDate>false</LinksUpToDate>
  <CharactersWithSpaces>16433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2020-10-19T22:15:00Z</dcterms:created>
  <dc:creator>ggcei</dc:creator>
  <cp:lastModifiedBy>Administrator</cp:lastModifiedBy>
  <cp:lastPrinted>2021-02-02T19:33:00Z</cp:lastPrinted>
  <dcterms:modified xsi:type="dcterms:W3CDTF">2022-06-01T09:24:55Z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KSOSaveFontToCloudKey">
    <vt:lpwstr>903025937_cloud</vt:lpwstr>
  </property>
</Properties>
</file>