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160" w:lineRule="atLeast"/>
        <w:ind w:firstLine="420"/>
        <w:jc w:val="center"/>
        <w:rPr>
          <w:rFonts w:ascii="微软雅黑" w:hAnsi="微软雅黑" w:eastAsia="微软雅黑" w:cs="微软雅黑"/>
          <w:color w:val="333333"/>
          <w:sz w:val="20"/>
          <w:szCs w:val="20"/>
        </w:rPr>
      </w:pPr>
      <w:r>
        <w:rPr>
          <w:rFonts w:ascii="方正大标宋简体" w:hAnsi="方正大标宋简体" w:eastAsia="方正大标宋简体" w:cs="方正大标宋简体"/>
          <w:color w:val="333333"/>
          <w:sz w:val="36"/>
          <w:szCs w:val="36"/>
        </w:rPr>
        <w:t>关于公开征集</w:t>
      </w:r>
      <w:r>
        <w:rPr>
          <w:rFonts w:hint="eastAsia" w:ascii="方正大标宋简体" w:hAnsi="方正大标宋简体" w:eastAsia="方正大标宋简体" w:cs="方正大标宋简体"/>
          <w:color w:val="333333"/>
          <w:sz w:val="36"/>
          <w:szCs w:val="36"/>
        </w:rPr>
        <w:t>国企</w:t>
      </w:r>
      <w:r>
        <w:rPr>
          <w:rFonts w:ascii="方正大标宋简体" w:hAnsi="方正大标宋简体" w:eastAsia="方正大标宋简体" w:cs="方正大标宋简体"/>
          <w:color w:val="333333"/>
          <w:sz w:val="36"/>
          <w:szCs w:val="36"/>
        </w:rPr>
        <w:t>购综合性评标专家库评标专家入库的公告</w:t>
      </w:r>
    </w:p>
    <w:p>
      <w:pPr>
        <w:pStyle w:val="3"/>
        <w:widowControl/>
        <w:ind w:firstLine="420"/>
        <w:jc w:val="left"/>
        <w:rPr>
          <w:rFonts w:ascii="微软雅黑" w:hAnsi="微软雅黑" w:eastAsia="仿宋_GB2312" w:cs="微软雅黑"/>
          <w:color w:val="333333"/>
          <w:sz w:val="21"/>
          <w:szCs w:val="21"/>
        </w:rPr>
      </w:pPr>
      <w:r>
        <w:rPr>
          <w:rFonts w:ascii="方正大标宋简体" w:hAnsi="方正大标宋简体" w:eastAsia="方正大标宋简体" w:cs="方正大标宋简体"/>
          <w:color w:val="333333"/>
          <w:sz w:val="36"/>
          <w:szCs w:val="36"/>
        </w:rPr>
        <w:t> </w:t>
      </w:r>
      <w:r>
        <w:rPr>
          <w:rFonts w:ascii="仿宋_GB2312" w:hAnsi="微软雅黑" w:eastAsia="仿宋_GB2312" w:cs="仿宋_GB2312"/>
          <w:color w:val="333333"/>
          <w:sz w:val="32"/>
          <w:szCs w:val="32"/>
        </w:rPr>
        <w:t>为进一步规范安吉县</w:t>
      </w:r>
      <w:r>
        <w:rPr>
          <w:rFonts w:hint="eastAsia" w:ascii="仿宋_GB2312" w:hAnsi="微软雅黑" w:eastAsia="仿宋_GB2312" w:cs="仿宋_GB2312"/>
          <w:color w:val="333333"/>
          <w:sz w:val="32"/>
          <w:szCs w:val="32"/>
        </w:rPr>
        <w:t>国企购</w:t>
      </w:r>
      <w:r>
        <w:rPr>
          <w:rFonts w:ascii="仿宋_GB2312" w:hAnsi="微软雅黑" w:eastAsia="仿宋_GB2312" w:cs="仿宋_GB2312"/>
          <w:color w:val="333333"/>
          <w:sz w:val="32"/>
          <w:szCs w:val="32"/>
        </w:rPr>
        <w:t>评标专家库建设,决定向社会公开征集综合性评标专家库评标专家相关事项通知如下</w:t>
      </w:r>
      <w:r>
        <w:rPr>
          <w:rFonts w:hint="eastAsia" w:ascii="仿宋_GB2312" w:hAnsi="微软雅黑" w:eastAsia="仿宋_GB2312" w:cs="仿宋_GB2312"/>
          <w:color w:val="333333"/>
          <w:sz w:val="32"/>
          <w:szCs w:val="32"/>
        </w:rPr>
        <w:t>：</w:t>
      </w:r>
    </w:p>
    <w:p>
      <w:pPr>
        <w:pStyle w:val="3"/>
        <w:widowControl/>
        <w:spacing w:line="560" w:lineRule="atLeast"/>
        <w:ind w:firstLine="640"/>
        <w:rPr>
          <w:rFonts w:ascii="黑体" w:hAnsi="宋体" w:eastAsia="黑体" w:cs="黑体"/>
          <w:color w:val="333333"/>
          <w:sz w:val="32"/>
          <w:szCs w:val="32"/>
        </w:rPr>
      </w:pPr>
    </w:p>
    <w:p>
      <w:pPr>
        <w:pStyle w:val="3"/>
        <w:widowControl/>
        <w:spacing w:line="560" w:lineRule="atLeast"/>
        <w:ind w:firstLine="960" w:firstLineChars="300"/>
        <w:rPr>
          <w:rFonts w:ascii="微软雅黑" w:hAnsi="微软雅黑" w:eastAsia="微软雅黑" w:cs="微软雅黑"/>
          <w:color w:val="333333"/>
          <w:sz w:val="21"/>
          <w:szCs w:val="21"/>
        </w:rPr>
      </w:pPr>
      <w:r>
        <w:rPr>
          <w:rFonts w:ascii="黑体" w:hAnsi="宋体" w:eastAsia="黑体" w:cs="黑体"/>
          <w:color w:val="333333"/>
          <w:sz w:val="32"/>
          <w:szCs w:val="32"/>
        </w:rPr>
        <w:t>一、申报时间</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2021年12月</w:t>
      </w:r>
      <w:r>
        <w:rPr>
          <w:rFonts w:hint="eastAsia" w:ascii="仿宋_GB2312" w:hAnsi="微软雅黑" w:eastAsia="仿宋_GB2312" w:cs="仿宋_GB2312"/>
          <w:color w:val="333333"/>
          <w:sz w:val="32"/>
          <w:szCs w:val="32"/>
        </w:rPr>
        <w:t>22</w:t>
      </w:r>
      <w:r>
        <w:rPr>
          <w:rFonts w:ascii="仿宋_GB2312" w:hAnsi="微软雅黑" w:eastAsia="仿宋_GB2312" w:cs="仿宋_GB2312"/>
          <w:color w:val="333333"/>
          <w:sz w:val="32"/>
          <w:szCs w:val="32"/>
        </w:rPr>
        <w:t>日至</w:t>
      </w:r>
      <w:r>
        <w:rPr>
          <w:rFonts w:hint="eastAsia" w:ascii="仿宋_GB2312" w:hAnsi="微软雅黑" w:eastAsia="仿宋_GB2312" w:cs="仿宋_GB2312"/>
          <w:color w:val="333333"/>
          <w:sz w:val="32"/>
          <w:szCs w:val="32"/>
        </w:rPr>
        <w:t>2022年</w:t>
      </w:r>
      <w:r>
        <w:rPr>
          <w:rFonts w:ascii="仿宋_GB2312" w:hAnsi="微软雅黑" w:eastAsia="仿宋_GB2312" w:cs="仿宋_GB2312"/>
          <w:color w:val="333333"/>
          <w:sz w:val="32"/>
          <w:szCs w:val="32"/>
        </w:rPr>
        <w:t>1月22日完成网上申报。</w:t>
      </w:r>
    </w:p>
    <w:p>
      <w:pPr>
        <w:pStyle w:val="3"/>
        <w:widowControl/>
        <w:spacing w:line="560" w:lineRule="atLeast"/>
        <w:ind w:left="638" w:leftChars="304" w:firstLine="329" w:firstLineChars="103"/>
        <w:rPr>
          <w:rFonts w:hint="default" w:ascii="微软雅黑" w:hAnsi="微软雅黑" w:eastAsia="黑体" w:cs="微软雅黑"/>
          <w:color w:val="333333"/>
          <w:sz w:val="21"/>
          <w:szCs w:val="21"/>
          <w:lang w:val="en-US" w:eastAsia="zh-CN"/>
        </w:rPr>
      </w:pPr>
      <w:r>
        <w:rPr>
          <w:rFonts w:hint="eastAsia" w:ascii="黑体" w:hAnsi="宋体" w:eastAsia="黑体" w:cs="黑体"/>
          <w:color w:val="333333"/>
          <w:sz w:val="32"/>
          <w:szCs w:val="32"/>
        </w:rPr>
        <w:t>二、申报条件</w:t>
      </w:r>
      <w:r>
        <w:rPr>
          <w:rFonts w:hint="eastAsia" w:ascii="黑体" w:hAnsi="宋体" w:eastAsia="黑体" w:cs="黑体"/>
          <w:color w:val="333333"/>
          <w:sz w:val="32"/>
          <w:szCs w:val="32"/>
        </w:rPr>
        <w:br w:type="textWrapping"/>
      </w:r>
      <w:r>
        <w:rPr>
          <w:rFonts w:hint="eastAsia" w:ascii="仿宋_GB2312" w:hAnsi="微软雅黑" w:eastAsia="仿宋_GB2312" w:cs="仿宋_GB2312"/>
          <w:color w:val="333333"/>
          <w:sz w:val="32"/>
          <w:szCs w:val="32"/>
          <w:lang w:val="en-US" w:eastAsia="zh-CN"/>
        </w:rPr>
        <w:t>（一）此前已在政采云政府采购专家库正常入库的。</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w:t>
      </w:r>
      <w:r>
        <w:rPr>
          <w:rFonts w:hint="eastAsia" w:ascii="仿宋_GB2312" w:hAnsi="微软雅黑" w:eastAsia="仿宋_GB2312" w:cs="仿宋_GB2312"/>
          <w:color w:val="333333"/>
          <w:sz w:val="32"/>
          <w:szCs w:val="32"/>
          <w:lang w:val="en-US" w:eastAsia="zh-CN"/>
        </w:rPr>
        <w:t>二</w:t>
      </w:r>
      <w:r>
        <w:rPr>
          <w:rFonts w:ascii="仿宋_GB2312" w:hAnsi="微软雅黑" w:eastAsia="仿宋_GB2312" w:cs="仿宋_GB2312"/>
          <w:color w:val="333333"/>
          <w:sz w:val="32"/>
          <w:szCs w:val="32"/>
        </w:rPr>
        <w:t>）具有大专及以上学历，从事相关专业工作满8年（参加全日制硕士、博士研究生学习后参加的，学习期间的时间计入工作年限）,并具有中、高级职称或取得国家人事部门认可的各类技术、经济、服务等相关执业（职业）资格；</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w:t>
      </w:r>
      <w:bookmarkStart w:id="0" w:name="_GoBack"/>
      <w:bookmarkEnd w:id="0"/>
      <w:r>
        <w:rPr>
          <w:rFonts w:hint="eastAsia" w:ascii="仿宋_GB2312" w:hAnsi="微软雅黑" w:eastAsia="仿宋_GB2312" w:cs="仿宋_GB2312"/>
          <w:color w:val="333333"/>
          <w:sz w:val="32"/>
          <w:szCs w:val="32"/>
          <w:lang w:val="en-US" w:eastAsia="zh-CN"/>
        </w:rPr>
        <w:t>三</w:t>
      </w:r>
      <w:r>
        <w:rPr>
          <w:rFonts w:ascii="仿宋_GB2312" w:hAnsi="微软雅黑" w:eastAsia="仿宋_GB2312" w:cs="仿宋_GB2312"/>
          <w:color w:val="333333"/>
          <w:sz w:val="32"/>
          <w:szCs w:val="32"/>
        </w:rPr>
        <w:t>）与上（</w:t>
      </w:r>
      <w:r>
        <w:rPr>
          <w:rFonts w:hint="eastAsia" w:ascii="仿宋_GB2312" w:hAnsi="微软雅黑" w:eastAsia="仿宋_GB2312" w:cs="仿宋_GB2312"/>
          <w:color w:val="333333"/>
          <w:sz w:val="32"/>
          <w:szCs w:val="32"/>
          <w:lang w:val="en-US" w:eastAsia="zh-CN"/>
        </w:rPr>
        <w:t>二</w:t>
      </w:r>
      <w:r>
        <w:rPr>
          <w:rFonts w:ascii="仿宋_GB2312" w:hAnsi="微软雅黑" w:eastAsia="仿宋_GB2312" w:cs="仿宋_GB2312"/>
          <w:color w:val="333333"/>
          <w:sz w:val="32"/>
          <w:szCs w:val="32"/>
        </w:rPr>
        <w:t>）同等专业水平且因身份与历史原因，无法取得相关资格证书，须单位出具五年及以上中层在岗工作经历（提供单位任命文件复印件）或担任类似项目负责人三年及以上，并提供类似项目业绩</w:t>
      </w:r>
      <w:r>
        <w:rPr>
          <w:rFonts w:ascii="仿宋_GB2312" w:hAnsi="微软雅黑" w:eastAsia="仿宋_GB2312" w:cs="仿宋_GB2312"/>
          <w:color w:val="000000"/>
          <w:sz w:val="32"/>
          <w:szCs w:val="32"/>
        </w:rPr>
        <w:t>三</w:t>
      </w:r>
      <w:r>
        <w:rPr>
          <w:rFonts w:ascii="仿宋_GB2312" w:hAnsi="微软雅黑" w:eastAsia="仿宋_GB2312" w:cs="仿宋_GB2312"/>
          <w:color w:val="333333"/>
          <w:sz w:val="32"/>
          <w:szCs w:val="32"/>
        </w:rPr>
        <w:t>例，审核通过后入库;</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一些特殊行业可放宽至虽没有技术职称，但已连续从事该行业10年以上的熟练技术人员，精通专业业务，熟悉产品情况，在其专业领域享有一定声誉的人员，可提供真实的经历并审核通过后入库；</w:t>
      </w:r>
    </w:p>
    <w:p>
      <w:pPr>
        <w:widowControl/>
        <w:spacing w:line="560" w:lineRule="atLeast"/>
        <w:ind w:firstLine="42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    （</w:t>
      </w:r>
      <w:r>
        <w:rPr>
          <w:rFonts w:hint="eastAsia" w:ascii="仿宋_GB2312" w:hAnsi="微软雅黑" w:eastAsia="仿宋_GB2312" w:cs="仿宋_GB2312"/>
          <w:color w:val="333333"/>
          <w:kern w:val="0"/>
          <w:sz w:val="32"/>
          <w:szCs w:val="32"/>
          <w:lang w:val="en-US" w:eastAsia="zh-CN" w:bidi="ar"/>
        </w:rPr>
        <w:t>四</w:t>
      </w:r>
      <w:r>
        <w:rPr>
          <w:rFonts w:ascii="仿宋_GB2312" w:hAnsi="微软雅黑" w:eastAsia="仿宋_GB2312" w:cs="仿宋_GB2312"/>
          <w:color w:val="333333"/>
          <w:kern w:val="0"/>
          <w:sz w:val="32"/>
          <w:szCs w:val="32"/>
          <w:lang w:bidi="ar"/>
        </w:rPr>
        <w:t>）熟悉招标采购的相关法律法规和业务理论知识，能够认真、公正、诚实、廉洁地履行职责；</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w:t>
      </w:r>
      <w:r>
        <w:rPr>
          <w:rFonts w:hint="eastAsia" w:ascii="仿宋_GB2312" w:hAnsi="微软雅黑" w:eastAsia="仿宋_GB2312" w:cs="仿宋_GB2312"/>
          <w:color w:val="333333"/>
          <w:sz w:val="32"/>
          <w:szCs w:val="32"/>
          <w:lang w:val="en-US" w:eastAsia="zh-CN"/>
        </w:rPr>
        <w:t>五</w:t>
      </w:r>
      <w:r>
        <w:rPr>
          <w:rFonts w:ascii="仿宋_GB2312" w:hAnsi="微软雅黑" w:eastAsia="仿宋_GB2312" w:cs="仿宋_GB2312"/>
          <w:color w:val="333333"/>
          <w:sz w:val="32"/>
          <w:szCs w:val="32"/>
        </w:rPr>
        <w:t>）具有完全民事行为能力，身体健康，能够独立承担评标工作，年龄不超过65周岁;</w:t>
      </w:r>
    </w:p>
    <w:p>
      <w:pPr>
        <w:widowControl/>
        <w:spacing w:line="560" w:lineRule="atLeast"/>
        <w:ind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w:t>
      </w:r>
      <w:r>
        <w:rPr>
          <w:rFonts w:hint="eastAsia" w:ascii="仿宋_GB2312" w:hAnsi="微软雅黑" w:eastAsia="仿宋_GB2312" w:cs="仿宋_GB2312"/>
          <w:color w:val="333333"/>
          <w:kern w:val="0"/>
          <w:sz w:val="32"/>
          <w:szCs w:val="32"/>
          <w:lang w:val="en-US" w:eastAsia="zh-CN" w:bidi="ar"/>
        </w:rPr>
        <w:t>六</w:t>
      </w:r>
      <w:r>
        <w:rPr>
          <w:rFonts w:ascii="仿宋_GB2312" w:hAnsi="微软雅黑" w:eastAsia="仿宋_GB2312" w:cs="仿宋_GB2312"/>
          <w:color w:val="333333"/>
          <w:kern w:val="0"/>
          <w:sz w:val="32"/>
          <w:szCs w:val="32"/>
          <w:lang w:bidi="ar"/>
        </w:rPr>
        <w:t>）基本掌握计算机应用操作；</w:t>
      </w:r>
    </w:p>
    <w:p>
      <w:pPr>
        <w:widowControl/>
        <w:spacing w:line="560" w:lineRule="atLeast"/>
        <w:ind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w:t>
      </w:r>
      <w:r>
        <w:rPr>
          <w:rFonts w:hint="eastAsia" w:ascii="仿宋_GB2312" w:hAnsi="微软雅黑" w:eastAsia="仿宋_GB2312" w:cs="仿宋_GB2312"/>
          <w:color w:val="333333"/>
          <w:kern w:val="0"/>
          <w:sz w:val="32"/>
          <w:szCs w:val="32"/>
          <w:lang w:val="en-US" w:eastAsia="zh-CN" w:bidi="ar"/>
        </w:rPr>
        <w:t>七</w:t>
      </w:r>
      <w:r>
        <w:rPr>
          <w:rFonts w:ascii="仿宋_GB2312" w:hAnsi="微软雅黑" w:eastAsia="仿宋_GB2312" w:cs="仿宋_GB2312"/>
          <w:color w:val="333333"/>
          <w:kern w:val="0"/>
          <w:sz w:val="32"/>
          <w:szCs w:val="32"/>
          <w:lang w:bidi="ar"/>
        </w:rPr>
        <w:t>）在职监理公司的人员不得填报监理专业；</w:t>
      </w:r>
    </w:p>
    <w:p>
      <w:pPr>
        <w:widowControl/>
        <w:spacing w:line="560" w:lineRule="atLeast"/>
        <w:ind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w:t>
      </w:r>
      <w:r>
        <w:rPr>
          <w:rFonts w:hint="eastAsia" w:ascii="仿宋_GB2312" w:hAnsi="微软雅黑" w:eastAsia="仿宋_GB2312" w:cs="仿宋_GB2312"/>
          <w:color w:val="333333"/>
          <w:kern w:val="0"/>
          <w:sz w:val="32"/>
          <w:szCs w:val="32"/>
          <w:lang w:val="en-US" w:eastAsia="zh-CN" w:bidi="ar"/>
        </w:rPr>
        <w:t>八</w:t>
      </w:r>
      <w:r>
        <w:rPr>
          <w:rFonts w:ascii="仿宋_GB2312" w:hAnsi="微软雅黑" w:eastAsia="仿宋_GB2312" w:cs="仿宋_GB2312"/>
          <w:color w:val="333333"/>
          <w:kern w:val="0"/>
          <w:sz w:val="32"/>
          <w:szCs w:val="32"/>
          <w:lang w:bidi="ar"/>
        </w:rPr>
        <w:t>）未曾因违法、违纪被取消评标资格，未曾在招标、评标以及其他与招投标有关活动中从事违法行为而受过行政处罚或者刑事处罚的；</w:t>
      </w:r>
    </w:p>
    <w:p>
      <w:pPr>
        <w:widowControl/>
        <w:spacing w:line="560" w:lineRule="atLeast"/>
        <w:ind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w:t>
      </w:r>
      <w:r>
        <w:rPr>
          <w:rFonts w:hint="eastAsia" w:ascii="仿宋_GB2312" w:hAnsi="微软雅黑" w:eastAsia="仿宋_GB2312" w:cs="仿宋_GB2312"/>
          <w:color w:val="333333"/>
          <w:kern w:val="0"/>
          <w:sz w:val="32"/>
          <w:szCs w:val="32"/>
          <w:lang w:val="en-US" w:eastAsia="zh-CN" w:bidi="ar"/>
        </w:rPr>
        <w:t>九</w:t>
      </w:r>
      <w:r>
        <w:rPr>
          <w:rFonts w:ascii="仿宋_GB2312" w:hAnsi="微软雅黑" w:eastAsia="仿宋_GB2312" w:cs="仿宋_GB2312"/>
          <w:color w:val="333333"/>
          <w:kern w:val="0"/>
          <w:sz w:val="32"/>
          <w:szCs w:val="32"/>
          <w:lang w:bidi="ar"/>
        </w:rPr>
        <w:t>）</w:t>
      </w:r>
      <w:r>
        <w:rPr>
          <w:rFonts w:ascii="仿宋_GB2312" w:hAnsi="微软雅黑" w:eastAsia="仿宋_GB2312" w:cs="仿宋_GB2312"/>
          <w:color w:val="333333"/>
          <w:sz w:val="32"/>
          <w:szCs w:val="32"/>
        </w:rPr>
        <w:t>符合法律、法规规定的其他条件。</w:t>
      </w:r>
    </w:p>
    <w:p>
      <w:pPr>
        <w:pStyle w:val="3"/>
        <w:widowControl/>
        <w:spacing w:line="560" w:lineRule="atLeast"/>
        <w:ind w:firstLine="640"/>
        <w:rPr>
          <w:rFonts w:ascii="微软雅黑" w:hAnsi="微软雅黑" w:eastAsia="微软雅黑" w:cs="微软雅黑"/>
          <w:color w:val="333333"/>
          <w:sz w:val="21"/>
          <w:szCs w:val="21"/>
        </w:rPr>
      </w:pPr>
      <w:r>
        <w:rPr>
          <w:rFonts w:hint="eastAsia" w:ascii="黑体" w:hAnsi="宋体" w:eastAsia="黑体" w:cs="黑体"/>
          <w:color w:val="333333"/>
          <w:sz w:val="32"/>
          <w:szCs w:val="32"/>
        </w:rPr>
        <w:t>三、注册录入</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一）完整填报个人基本信息，包括最高学历、毕业院校及所学专业、单位地址、通讯地址、工作经历及主要业绩、评标区域、专家回避单位等。专家回避单位包括现工作单位、五年内曾就职单位、近亲属参股或任主要职务的单位及其他有相关利害关系的单位；</w:t>
      </w:r>
    </w:p>
    <w:p>
      <w:pPr>
        <w:widowControl/>
        <w:spacing w:line="560" w:lineRule="atLeast"/>
        <w:ind w:firstLine="640"/>
        <w:jc w:val="left"/>
        <w:rPr>
          <w:rFonts w:hint="eastAsia" w:ascii="仿宋_GB2312" w:hAnsi="微软雅黑" w:eastAsia="仿宋_GB2312" w:cs="仿宋_GB2312"/>
          <w:color w:val="333333"/>
          <w:kern w:val="0"/>
          <w:sz w:val="32"/>
          <w:szCs w:val="32"/>
          <w:lang w:val="en-US" w:eastAsia="zh-CN" w:bidi="ar"/>
        </w:rPr>
      </w:pPr>
      <w:r>
        <w:rPr>
          <w:rFonts w:ascii="仿宋_GB2312" w:hAnsi="微软雅黑" w:eastAsia="仿宋_GB2312" w:cs="仿宋_GB2312"/>
          <w:color w:val="333333"/>
          <w:kern w:val="0"/>
          <w:sz w:val="32"/>
          <w:szCs w:val="32"/>
          <w:lang w:bidi="ar"/>
        </w:rPr>
        <w:t>（二）选择评标专业，申请人最多可选择</w:t>
      </w:r>
      <w:r>
        <w:rPr>
          <w:rFonts w:hint="eastAsia" w:ascii="仿宋_GB2312" w:hAnsi="微软雅黑" w:eastAsia="仿宋_GB2312" w:cs="仿宋_GB2312"/>
          <w:color w:val="333333"/>
          <w:kern w:val="0"/>
          <w:sz w:val="32"/>
          <w:szCs w:val="32"/>
          <w:lang w:val="en-US" w:eastAsia="zh-CN" w:bidi="ar"/>
        </w:rPr>
        <w:t>6个三级专业。</w:t>
      </w:r>
    </w:p>
    <w:p>
      <w:pPr>
        <w:widowControl/>
        <w:spacing w:line="560" w:lineRule="atLeast"/>
        <w:ind w:firstLine="640"/>
        <w:jc w:val="left"/>
        <w:rPr>
          <w:rFonts w:hint="default" w:ascii="仿宋_GB2312" w:hAnsi="微软雅黑" w:eastAsia="仿宋_GB2312" w:cs="仿宋_GB2312"/>
          <w:color w:val="333333"/>
          <w:kern w:val="0"/>
          <w:sz w:val="32"/>
          <w:szCs w:val="32"/>
          <w:lang w:val="en-US" w:eastAsia="zh-CN" w:bidi="ar"/>
        </w:rPr>
      </w:pPr>
    </w:p>
    <w:p>
      <w:pPr>
        <w:pStyle w:val="3"/>
        <w:widowControl/>
        <w:spacing w:line="560" w:lineRule="atLeast"/>
        <w:ind w:firstLine="640"/>
        <w:rPr>
          <w:rFonts w:ascii="微软雅黑" w:hAnsi="微软雅黑" w:eastAsia="微软雅黑" w:cs="微软雅黑"/>
          <w:color w:val="333333"/>
          <w:sz w:val="21"/>
          <w:szCs w:val="21"/>
        </w:rPr>
      </w:pPr>
      <w:r>
        <w:rPr>
          <w:rFonts w:hint="eastAsia" w:ascii="黑体" w:hAnsi="宋体" w:eastAsia="黑体" w:cs="黑体"/>
          <w:color w:val="333333"/>
          <w:sz w:val="32"/>
          <w:szCs w:val="32"/>
        </w:rPr>
        <w:t>四、评标专家权利、义务及法律责任</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（一）评标专家权利</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1.受邀参加本级招标采购项目的评标工作;</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2.按规定获得每次参加评标的劳务报酬;</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3.依法对投标文件进行独立评审权，提出评审意见，不受任何单位或者个人的干预;</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4.法律、法规和规章规定的其他权利。</w:t>
      </w:r>
    </w:p>
    <w:p>
      <w:pPr>
        <w:pStyle w:val="3"/>
        <w:widowControl/>
        <w:spacing w:line="560" w:lineRule="atLeast"/>
        <w:ind w:firstLine="640"/>
        <w:rPr>
          <w:rFonts w:ascii="微软雅黑" w:hAnsi="微软雅黑" w:eastAsia="微软雅黑" w:cs="微软雅黑"/>
          <w:color w:val="333333"/>
          <w:sz w:val="21"/>
          <w:szCs w:val="21"/>
        </w:rPr>
      </w:pPr>
      <w:r>
        <w:rPr>
          <w:rFonts w:ascii="仿宋_GB2312" w:hAnsi="微软雅黑" w:eastAsia="仿宋_GB2312" w:cs="仿宋_GB2312"/>
          <w:color w:val="333333"/>
          <w:sz w:val="32"/>
          <w:szCs w:val="32"/>
        </w:rPr>
        <w:t>（二）评标专家的义务</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1.积极应邀参加招标采购项目的评标和咨询工作，无特殊情况，必须按时参加评标工作；</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2.严格遵守国家有关廉洁自律的规定和评标工作的职业道德要求。在担任项目评标专家期间，不得违反各项制度规定，不得收受供应商和其他利害关系人给予的财物或者其他好处；主动回避与本人存在利害关系的评标和咨询工作；</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3.配合有关方面解答招标采购评审工作中的咨询或质疑（异议），配合监管部门处理投标人的质疑（异议）、投诉、复议和诉讼等事项；</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4.严格遵守评标工作纪律，自觉接受有关部门的监督管理；</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5.积极参加业务知识培训；</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6.法律、法规和规章规定的其他义务。</w:t>
      </w:r>
    </w:p>
    <w:p>
      <w:pPr>
        <w:widowControl/>
        <w:spacing w:line="560" w:lineRule="atLeast"/>
        <w:ind w:left="120" w:firstLine="64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（三）评标专家的法律责任</w:t>
      </w:r>
    </w:p>
    <w:p>
      <w:pPr>
        <w:widowControl/>
        <w:spacing w:line="560" w:lineRule="atLeast"/>
        <w:ind w:left="120" w:firstLine="716"/>
        <w:jc w:val="left"/>
        <w:rPr>
          <w:rFonts w:ascii="仿宋_GB2312" w:hAnsi="微软雅黑" w:eastAsia="仿宋_GB2312" w:cs="仿宋_GB2312"/>
          <w:color w:val="333333"/>
          <w:kern w:val="0"/>
          <w:sz w:val="32"/>
          <w:szCs w:val="32"/>
          <w:lang w:bidi="ar"/>
        </w:rPr>
      </w:pPr>
      <w:r>
        <w:rPr>
          <w:rFonts w:ascii="仿宋_GB2312" w:hAnsi="微软雅黑" w:eastAsia="仿宋_GB2312" w:cs="仿宋_GB2312"/>
          <w:color w:val="333333"/>
          <w:kern w:val="0"/>
          <w:sz w:val="32"/>
          <w:szCs w:val="32"/>
          <w:lang w:bidi="ar"/>
        </w:rPr>
        <w:t>评标专家如果不认真履行上述义务，发生违纪违法行为的，县公管办根据实际情况，视情节的严重程度，给予诚信记录、通报批评、取消评标专家资格、没收违法所得、追究经济赔偿责任、提请有关部门给予行政处分的处理；构成犯罪的，送司法机关依法追究刑事责任。</w:t>
      </w:r>
    </w:p>
    <w:p>
      <w:pPr>
        <w:widowControl/>
        <w:spacing w:line="560" w:lineRule="atLeast"/>
        <w:jc w:val="left"/>
        <w:rPr>
          <w:rFonts w:hint="eastAsia" w:ascii="黑体" w:hAnsi="宋体" w:eastAsia="黑体" w:cs="黑体"/>
          <w:color w:val="333333"/>
          <w:kern w:val="0"/>
          <w:sz w:val="32"/>
          <w:szCs w:val="32"/>
          <w:lang w:bidi="ar"/>
        </w:rPr>
      </w:pPr>
    </w:p>
    <w:p>
      <w:pPr>
        <w:widowControl/>
        <w:spacing w:line="560" w:lineRule="atLeast"/>
        <w:jc w:val="left"/>
        <w:rPr>
          <w:rFonts w:ascii="微软雅黑" w:hAnsi="微软雅黑" w:eastAsia="微软雅黑" w:cs="微软雅黑"/>
          <w:color w:val="333333"/>
          <w:szCs w:val="21"/>
        </w:rPr>
      </w:pPr>
      <w:r>
        <w:rPr>
          <w:rFonts w:hint="eastAsia" w:ascii="黑体" w:hAnsi="宋体" w:eastAsia="黑体" w:cs="黑体"/>
          <w:color w:val="333333"/>
          <w:kern w:val="0"/>
          <w:sz w:val="32"/>
          <w:szCs w:val="32"/>
          <w:lang w:bidi="ar"/>
        </w:rPr>
        <w:t>企业购综合评标专家入库工作联系方式</w:t>
      </w:r>
    </w:p>
    <w:p>
      <w:pPr>
        <w:widowControl/>
        <w:spacing w:line="560" w:lineRule="atLeast"/>
        <w:jc w:val="left"/>
        <w:rPr>
          <w:rFonts w:ascii="仿宋_GB2312" w:hAnsi="微软雅黑" w:eastAsia="仿宋_GB2312" w:cs="仿宋_GB2312"/>
          <w:color w:val="333333"/>
          <w:kern w:val="0"/>
          <w:sz w:val="32"/>
          <w:szCs w:val="32"/>
          <w:lang w:bidi="ar"/>
        </w:rPr>
      </w:pPr>
    </w:p>
    <w:p>
      <w:pPr>
        <w:widowControl/>
        <w:spacing w:line="560" w:lineRule="atLeast"/>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联系电话：</w:t>
      </w:r>
      <w:r>
        <w:rPr>
          <w:rFonts w:hint="eastAsia" w:ascii="仿宋_GB2312" w:hAnsi="微软雅黑" w:eastAsia="仿宋_GB2312" w:cs="仿宋_GB2312"/>
          <w:color w:val="333333"/>
          <w:kern w:val="0"/>
          <w:sz w:val="32"/>
          <w:szCs w:val="32"/>
          <w:lang w:val="en-US" w:eastAsia="zh-CN" w:bidi="ar"/>
        </w:rPr>
        <w:t xml:space="preserve">政采云有限公司   </w:t>
      </w:r>
      <w:r>
        <w:rPr>
          <w:rFonts w:ascii="仿宋_GB2312" w:hAnsi="微软雅黑" w:eastAsia="仿宋_GB2312" w:cs="仿宋_GB2312"/>
          <w:color w:val="333333"/>
          <w:kern w:val="0"/>
          <w:sz w:val="32"/>
          <w:szCs w:val="32"/>
          <w:lang w:bidi="ar"/>
        </w:rPr>
        <w:t>0571-56</w:t>
      </w:r>
      <w:r>
        <w:rPr>
          <w:rFonts w:hint="eastAsia" w:ascii="仿宋_GB2312" w:hAnsi="微软雅黑" w:eastAsia="仿宋_GB2312" w:cs="仿宋_GB2312"/>
          <w:color w:val="333333"/>
          <w:kern w:val="0"/>
          <w:sz w:val="32"/>
          <w:szCs w:val="32"/>
          <w:lang w:bidi="ar"/>
        </w:rPr>
        <w:t>511728 转3</w:t>
      </w:r>
    </w:p>
    <w:p>
      <w:pPr>
        <w:widowControl/>
        <w:spacing w:line="560" w:lineRule="atLeast"/>
        <w:ind w:firstLine="420"/>
        <w:jc w:val="right"/>
        <w:rPr>
          <w:rFonts w:ascii="仿宋_GB2312" w:hAnsi="微软雅黑" w:eastAsia="仿宋_GB2312" w:cs="仿宋_GB2312"/>
          <w:color w:val="333333"/>
          <w:kern w:val="0"/>
          <w:sz w:val="32"/>
          <w:szCs w:val="32"/>
          <w:lang w:bidi="ar"/>
        </w:rPr>
      </w:pPr>
    </w:p>
    <w:p>
      <w:pPr>
        <w:widowControl/>
        <w:spacing w:line="560" w:lineRule="atLeast"/>
        <w:jc w:val="left"/>
        <w:rPr>
          <w:rFonts w:ascii="仿宋_GB2312" w:hAnsi="微软雅黑" w:eastAsia="仿宋_GB2312" w:cs="仿宋_GB2312"/>
          <w:color w:val="333333"/>
          <w:kern w:val="0"/>
          <w:sz w:val="32"/>
          <w:szCs w:val="32"/>
          <w:lang w:bidi="ar"/>
        </w:rPr>
      </w:pPr>
      <w:r>
        <w:rPr>
          <w:rFonts w:hint="eastAsia" w:ascii="仿宋_GB2312" w:hAnsi="微软雅黑" w:eastAsia="仿宋_GB2312" w:cs="仿宋_GB2312"/>
          <w:color w:val="333333"/>
          <w:kern w:val="0"/>
          <w:sz w:val="32"/>
          <w:szCs w:val="32"/>
          <w:lang w:bidi="ar"/>
        </w:rPr>
        <w:t>附件：企业采购评审专家库入驻指南V1.0</w:t>
      </w:r>
    </w:p>
    <w:p>
      <w:pPr>
        <w:widowControl/>
        <w:spacing w:line="560" w:lineRule="atLeast"/>
        <w:ind w:firstLine="420"/>
        <w:jc w:val="lef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 </w:t>
      </w:r>
    </w:p>
    <w:p>
      <w:pPr>
        <w:widowControl/>
        <w:spacing w:line="560" w:lineRule="atLeast"/>
        <w:ind w:firstLine="420"/>
        <w:jc w:val="right"/>
        <w:rPr>
          <w:rFonts w:ascii="仿宋_GB2312" w:hAnsi="微软雅黑" w:eastAsia="仿宋_GB2312" w:cs="仿宋_GB2312"/>
          <w:color w:val="333333"/>
          <w:kern w:val="0"/>
          <w:sz w:val="32"/>
          <w:szCs w:val="32"/>
          <w:lang w:bidi="ar"/>
        </w:rPr>
      </w:pPr>
      <w:r>
        <w:rPr>
          <w:rFonts w:hint="eastAsia" w:ascii="仿宋_GB2312" w:hAnsi="微软雅黑" w:eastAsia="仿宋_GB2312" w:cs="仿宋_GB2312"/>
          <w:color w:val="333333"/>
          <w:kern w:val="0"/>
          <w:sz w:val="32"/>
          <w:szCs w:val="32"/>
          <w:lang w:bidi="ar"/>
        </w:rPr>
        <w:t>安吉县财政局国资科</w:t>
      </w:r>
    </w:p>
    <w:p>
      <w:pPr>
        <w:widowControl/>
        <w:spacing w:line="560" w:lineRule="atLeast"/>
        <w:ind w:firstLine="420"/>
        <w:jc w:val="right"/>
        <w:rPr>
          <w:rFonts w:ascii="微软雅黑" w:hAnsi="微软雅黑" w:eastAsia="微软雅黑" w:cs="微软雅黑"/>
          <w:color w:val="333333"/>
          <w:szCs w:val="21"/>
        </w:rPr>
      </w:pPr>
      <w:r>
        <w:rPr>
          <w:rFonts w:ascii="仿宋_GB2312" w:hAnsi="微软雅黑" w:eastAsia="仿宋_GB2312" w:cs="仿宋_GB2312"/>
          <w:color w:val="333333"/>
          <w:kern w:val="0"/>
          <w:sz w:val="32"/>
          <w:szCs w:val="32"/>
          <w:lang w:bidi="ar"/>
        </w:rPr>
        <w:t>2021年12月23日</w:t>
      </w: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p>
    <w:p>
      <w:pPr>
        <w:rPr>
          <w:sz w:val="28"/>
          <w:szCs w:val="36"/>
        </w:rPr>
      </w:pPr>
      <w:r>
        <w:rPr>
          <w:rFonts w:hint="eastAsia"/>
          <w:sz w:val="28"/>
          <w:szCs w:val="36"/>
        </w:rPr>
        <w:t>附件：</w:t>
      </w:r>
    </w:p>
    <w:p>
      <w:pPr>
        <w:pStyle w:val="2"/>
        <w:rPr>
          <w:rFonts w:ascii="仿宋" w:hAnsi="仿宋" w:eastAsia="仿宋" w:cs="仿宋"/>
        </w:rPr>
      </w:pPr>
      <w:r>
        <w:rPr>
          <w:rFonts w:hint="eastAsia" w:ascii="仿宋" w:hAnsi="仿宋" w:eastAsia="仿宋" w:cs="仿宋"/>
        </w:rPr>
        <w:t>一、企业采购专家库注册地址</w:t>
      </w:r>
    </w:p>
    <w:p>
      <w:pPr>
        <w:pStyle w:val="2"/>
        <w:rPr>
          <w:rFonts w:ascii="仿宋" w:hAnsi="仿宋" w:eastAsia="仿宋" w:cs="仿宋"/>
          <w:b w:val="0"/>
          <w:kern w:val="2"/>
          <w:sz w:val="40"/>
          <w:szCs w:val="48"/>
        </w:rPr>
      </w:pPr>
      <w:r>
        <w:rPr>
          <w:rFonts w:hint="eastAsia" w:ascii="仿宋" w:hAnsi="仿宋" w:eastAsia="仿宋" w:cs="仿宋"/>
          <w:b w:val="0"/>
          <w:kern w:val="2"/>
          <w:sz w:val="40"/>
          <w:szCs w:val="48"/>
        </w:rPr>
        <w:t>1、打开浙江政府采购网（https://zfcg.czt.zj.gov.cn/）并进入</w:t>
      </w:r>
      <w:r>
        <w:rPr>
          <w:rFonts w:hint="eastAsia" w:ascii="仿宋" w:hAnsi="仿宋" w:eastAsia="仿宋" w:cs="仿宋"/>
          <w:bCs/>
          <w:kern w:val="2"/>
          <w:sz w:val="40"/>
          <w:szCs w:val="48"/>
        </w:rPr>
        <w:t>专家专栏</w:t>
      </w:r>
      <w:r>
        <w:rPr>
          <w:rFonts w:hint="eastAsia" w:ascii="仿宋" w:hAnsi="仿宋" w:eastAsia="仿宋" w:cs="仿宋"/>
          <w:b w:val="0"/>
          <w:kern w:val="2"/>
          <w:sz w:val="40"/>
          <w:szCs w:val="48"/>
        </w:rPr>
        <w:t>。</w:t>
      </w:r>
    </w:p>
    <w:p/>
    <w:p>
      <w:r>
        <w:drawing>
          <wp:inline distT="0" distB="0" distL="114300" distR="114300">
            <wp:extent cx="5264150" cy="2460625"/>
            <wp:effectExtent l="0" t="0" r="1270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4150" cy="2460625"/>
                    </a:xfrm>
                    <a:prstGeom prst="rect">
                      <a:avLst/>
                    </a:prstGeom>
                    <a:noFill/>
                    <a:ln>
                      <a:noFill/>
                    </a:ln>
                  </pic:spPr>
                </pic:pic>
              </a:graphicData>
            </a:graphic>
          </wp:inline>
        </w:drawing>
      </w:r>
    </w:p>
    <w:p>
      <w:pPr>
        <w:rPr>
          <w:rFonts w:ascii="仿宋" w:hAnsi="仿宋" w:eastAsia="仿宋" w:cs="仿宋"/>
          <w:sz w:val="40"/>
          <w:szCs w:val="48"/>
        </w:rPr>
      </w:pPr>
    </w:p>
    <w:p>
      <w:pPr>
        <w:rPr>
          <w:rFonts w:ascii="仿宋" w:hAnsi="仿宋" w:eastAsia="仿宋" w:cs="仿宋"/>
          <w:sz w:val="40"/>
          <w:szCs w:val="48"/>
        </w:rPr>
      </w:pPr>
      <w:r>
        <w:rPr>
          <w:rFonts w:hint="eastAsia" w:ascii="仿宋" w:hAnsi="仿宋" w:eastAsia="仿宋" w:cs="仿宋"/>
          <w:sz w:val="40"/>
          <w:szCs w:val="48"/>
        </w:rPr>
        <w:t>2、选择“</w:t>
      </w:r>
      <w:r>
        <w:rPr>
          <w:rFonts w:hint="eastAsia" w:ascii="仿宋" w:hAnsi="仿宋" w:eastAsia="仿宋" w:cs="仿宋"/>
          <w:b/>
          <w:bCs/>
          <w:sz w:val="40"/>
          <w:szCs w:val="48"/>
        </w:rPr>
        <w:t>政企区</w:t>
      </w:r>
      <w:r>
        <w:rPr>
          <w:rFonts w:hint="eastAsia" w:ascii="仿宋" w:hAnsi="仿宋" w:eastAsia="仿宋" w:cs="仿宋"/>
          <w:sz w:val="40"/>
          <w:szCs w:val="48"/>
        </w:rPr>
        <w:t>”点击“</w:t>
      </w:r>
      <w:r>
        <w:rPr>
          <w:rFonts w:hint="eastAsia" w:ascii="仿宋" w:hAnsi="仿宋" w:eastAsia="仿宋" w:cs="仿宋"/>
          <w:b/>
          <w:bCs/>
          <w:sz w:val="40"/>
          <w:szCs w:val="48"/>
        </w:rPr>
        <w:t>点击入驻</w:t>
      </w:r>
      <w:r>
        <w:rPr>
          <w:rFonts w:hint="eastAsia" w:ascii="仿宋" w:hAnsi="仿宋" w:eastAsia="仿宋" w:cs="仿宋"/>
          <w:sz w:val="40"/>
          <w:szCs w:val="48"/>
        </w:rPr>
        <w:t>”</w:t>
      </w:r>
    </w:p>
    <w:p>
      <w:pPr>
        <w:rPr>
          <w:rFonts w:ascii="仿宋" w:hAnsi="仿宋" w:eastAsia="仿宋" w:cs="仿宋"/>
          <w:sz w:val="40"/>
          <w:szCs w:val="48"/>
        </w:rPr>
      </w:pPr>
    </w:p>
    <w:p>
      <w:pPr>
        <w:rPr>
          <w:rFonts w:ascii="仿宋" w:hAnsi="仿宋" w:eastAsia="仿宋" w:cs="仿宋"/>
          <w:sz w:val="40"/>
          <w:szCs w:val="48"/>
        </w:rPr>
      </w:pPr>
      <w:r>
        <w:drawing>
          <wp:inline distT="0" distB="0" distL="114300" distR="114300">
            <wp:extent cx="5266690" cy="2312670"/>
            <wp:effectExtent l="0" t="0" r="1016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690" cy="2312670"/>
                    </a:xfrm>
                    <a:prstGeom prst="rect">
                      <a:avLst/>
                    </a:prstGeom>
                    <a:noFill/>
                    <a:ln>
                      <a:noFill/>
                    </a:ln>
                  </pic:spPr>
                </pic:pic>
              </a:graphicData>
            </a:graphic>
          </wp:inline>
        </w:drawing>
      </w:r>
    </w:p>
    <w:p>
      <w:pPr>
        <w:rPr>
          <w:rFonts w:ascii="仿宋" w:hAnsi="仿宋" w:eastAsia="仿宋" w:cs="仿宋"/>
          <w:sz w:val="40"/>
          <w:szCs w:val="48"/>
        </w:rPr>
      </w:pPr>
    </w:p>
    <w:p>
      <w:pPr>
        <w:rPr>
          <w:rFonts w:ascii="仿宋" w:hAnsi="仿宋" w:eastAsia="仿宋" w:cs="仿宋"/>
          <w:sz w:val="40"/>
          <w:szCs w:val="48"/>
        </w:rPr>
      </w:pPr>
    </w:p>
    <w:p>
      <w:pPr>
        <w:pStyle w:val="2"/>
        <w:numPr>
          <w:ilvl w:val="0"/>
          <w:numId w:val="1"/>
        </w:numPr>
      </w:pPr>
      <w:r>
        <w:rPr>
          <w:rFonts w:hint="eastAsia"/>
        </w:rPr>
        <w:t>注册及资料完善</w:t>
      </w:r>
    </w:p>
    <w:p>
      <w:pPr>
        <w:rPr>
          <w:rFonts w:ascii="仿宋" w:hAnsi="仿宋" w:eastAsia="仿宋" w:cs="仿宋"/>
          <w:sz w:val="40"/>
          <w:szCs w:val="48"/>
        </w:rPr>
      </w:pPr>
    </w:p>
    <w:p>
      <w:pPr>
        <w:rPr>
          <w:rFonts w:ascii="仿宋" w:hAnsi="仿宋" w:eastAsia="仿宋" w:cs="仿宋"/>
          <w:sz w:val="40"/>
          <w:szCs w:val="48"/>
        </w:rPr>
      </w:pPr>
      <w:r>
        <w:rPr>
          <w:rFonts w:hint="eastAsia" w:ascii="仿宋" w:hAnsi="仿宋" w:eastAsia="仿宋" w:cs="仿宋"/>
          <w:sz w:val="40"/>
          <w:szCs w:val="48"/>
        </w:rPr>
        <w:t>1、点击“立即注册”</w:t>
      </w:r>
    </w:p>
    <w:p>
      <w:pPr>
        <w:rPr>
          <w:rFonts w:ascii="仿宋" w:hAnsi="仿宋" w:eastAsia="仿宋" w:cs="仿宋"/>
          <w:sz w:val="40"/>
          <w:szCs w:val="48"/>
        </w:rPr>
      </w:pPr>
    </w:p>
    <w:p>
      <w:r>
        <w:drawing>
          <wp:inline distT="0" distB="0" distL="114300" distR="114300">
            <wp:extent cx="5273040" cy="246761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040" cy="2467610"/>
                    </a:xfrm>
                    <a:prstGeom prst="rect">
                      <a:avLst/>
                    </a:prstGeom>
                    <a:noFill/>
                    <a:ln>
                      <a:noFill/>
                    </a:ln>
                  </pic:spPr>
                </pic:pic>
              </a:graphicData>
            </a:graphic>
          </wp:inline>
        </w:drawing>
      </w:r>
    </w:p>
    <w:p/>
    <w:p/>
    <w:p/>
    <w:p>
      <w:pPr>
        <w:rPr>
          <w:rFonts w:ascii="仿宋" w:hAnsi="仿宋" w:eastAsia="仿宋" w:cs="仿宋"/>
          <w:sz w:val="40"/>
          <w:szCs w:val="48"/>
        </w:rPr>
      </w:pPr>
      <w:r>
        <w:rPr>
          <w:rFonts w:hint="eastAsia" w:ascii="仿宋" w:hAnsi="仿宋" w:eastAsia="仿宋" w:cs="仿宋"/>
          <w:sz w:val="40"/>
          <w:szCs w:val="48"/>
        </w:rPr>
        <w:t>2、填写相关注册信息，如果之前已经有相关账号点击下方“</w:t>
      </w:r>
      <w:r>
        <w:rPr>
          <w:rFonts w:hint="eastAsia" w:ascii="仿宋" w:hAnsi="仿宋" w:eastAsia="仿宋" w:cs="仿宋"/>
          <w:b/>
          <w:bCs/>
          <w:sz w:val="40"/>
          <w:szCs w:val="48"/>
        </w:rPr>
        <w:t>已有账号去登录</w:t>
      </w:r>
      <w:r>
        <w:rPr>
          <w:rFonts w:hint="eastAsia" w:ascii="仿宋" w:hAnsi="仿宋" w:eastAsia="仿宋" w:cs="仿宋"/>
          <w:sz w:val="40"/>
          <w:szCs w:val="48"/>
        </w:rPr>
        <w:t>”进行登录</w:t>
      </w:r>
    </w:p>
    <w:p/>
    <w:p/>
    <w:p>
      <w:r>
        <w:drawing>
          <wp:inline distT="0" distB="0" distL="114300" distR="114300">
            <wp:extent cx="5266690" cy="2491105"/>
            <wp:effectExtent l="0" t="0" r="1016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6690" cy="2491105"/>
                    </a:xfrm>
                    <a:prstGeom prst="rect">
                      <a:avLst/>
                    </a:prstGeom>
                    <a:noFill/>
                    <a:ln>
                      <a:noFill/>
                    </a:ln>
                  </pic:spPr>
                </pic:pic>
              </a:graphicData>
            </a:graphic>
          </wp:inline>
        </w:drawing>
      </w:r>
    </w:p>
    <w:p>
      <w:pPr>
        <w:rPr>
          <w:rFonts w:ascii="仿宋" w:hAnsi="仿宋" w:eastAsia="仿宋" w:cs="仿宋"/>
          <w:sz w:val="40"/>
          <w:szCs w:val="48"/>
        </w:rPr>
      </w:pPr>
    </w:p>
    <w:p>
      <w:pPr>
        <w:rPr>
          <w:rFonts w:ascii="仿宋" w:hAnsi="仿宋" w:eastAsia="仿宋" w:cs="仿宋"/>
          <w:sz w:val="40"/>
          <w:szCs w:val="48"/>
        </w:rPr>
      </w:pPr>
      <w:r>
        <w:rPr>
          <w:rFonts w:hint="eastAsia" w:ascii="仿宋" w:hAnsi="仿宋" w:eastAsia="仿宋" w:cs="仿宋"/>
          <w:sz w:val="40"/>
          <w:szCs w:val="48"/>
        </w:rPr>
        <w:t>3、入驻范围选择“</w:t>
      </w:r>
      <w:r>
        <w:rPr>
          <w:rFonts w:hint="eastAsia" w:ascii="仿宋" w:hAnsi="仿宋" w:eastAsia="仿宋" w:cs="仿宋"/>
          <w:b/>
          <w:bCs/>
          <w:sz w:val="40"/>
          <w:szCs w:val="48"/>
        </w:rPr>
        <w:t>政企区-政企区本级</w:t>
      </w:r>
      <w:r>
        <w:rPr>
          <w:rFonts w:hint="eastAsia" w:ascii="仿宋" w:hAnsi="仿宋" w:eastAsia="仿宋" w:cs="仿宋"/>
          <w:sz w:val="40"/>
          <w:szCs w:val="48"/>
        </w:rPr>
        <w:t>”并点击下一步</w:t>
      </w:r>
    </w:p>
    <w:p/>
    <w:p/>
    <w:p>
      <w:r>
        <w:drawing>
          <wp:inline distT="0" distB="0" distL="114300" distR="114300">
            <wp:extent cx="5266690" cy="2246630"/>
            <wp:effectExtent l="0" t="0" r="1016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6690" cy="2246630"/>
                    </a:xfrm>
                    <a:prstGeom prst="rect">
                      <a:avLst/>
                    </a:prstGeom>
                    <a:noFill/>
                    <a:ln>
                      <a:noFill/>
                    </a:ln>
                  </pic:spPr>
                </pic:pic>
              </a:graphicData>
            </a:graphic>
          </wp:inline>
        </w:drawing>
      </w:r>
    </w:p>
    <w:p>
      <w:pPr>
        <w:rPr>
          <w:rFonts w:ascii="仿宋" w:hAnsi="仿宋" w:eastAsia="仿宋" w:cs="仿宋"/>
          <w:sz w:val="40"/>
          <w:szCs w:val="48"/>
        </w:rPr>
      </w:pPr>
    </w:p>
    <w:p>
      <w:pPr>
        <w:rPr>
          <w:rFonts w:ascii="仿宋" w:hAnsi="仿宋" w:eastAsia="仿宋" w:cs="仿宋"/>
          <w:sz w:val="40"/>
          <w:szCs w:val="48"/>
        </w:rPr>
      </w:pPr>
      <w:r>
        <w:rPr>
          <w:rFonts w:hint="eastAsia" w:ascii="仿宋" w:hAnsi="仿宋" w:eastAsia="仿宋" w:cs="仿宋"/>
          <w:sz w:val="40"/>
          <w:szCs w:val="48"/>
        </w:rPr>
        <w:t>4、资料完善环节按照要求填写基本信息、评审信息、学历信息、工作履历等相关信息。</w:t>
      </w:r>
    </w:p>
    <w:p>
      <w:pPr>
        <w:rPr>
          <w:rFonts w:ascii="仿宋" w:hAnsi="仿宋" w:eastAsia="仿宋" w:cs="仿宋"/>
          <w:sz w:val="40"/>
          <w:szCs w:val="48"/>
        </w:rPr>
      </w:pPr>
    </w:p>
    <w:p>
      <w:r>
        <w:drawing>
          <wp:inline distT="0" distB="0" distL="114300" distR="114300">
            <wp:extent cx="5266690" cy="2458085"/>
            <wp:effectExtent l="0" t="0" r="10160"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6690" cy="2458085"/>
                    </a:xfrm>
                    <a:prstGeom prst="rect">
                      <a:avLst/>
                    </a:prstGeom>
                    <a:noFill/>
                    <a:ln>
                      <a:noFill/>
                    </a:ln>
                  </pic:spPr>
                </pic:pic>
              </a:graphicData>
            </a:graphic>
          </wp:inline>
        </w:drawing>
      </w:r>
    </w:p>
    <w:p/>
    <w:p>
      <w:pPr>
        <w:rPr>
          <w:rFonts w:ascii="仿宋" w:hAnsi="仿宋" w:eastAsia="仿宋" w:cs="仿宋"/>
          <w:sz w:val="40"/>
          <w:szCs w:val="48"/>
        </w:rPr>
      </w:pPr>
    </w:p>
    <w:p>
      <w:pPr>
        <w:numPr>
          <w:ilvl w:val="0"/>
          <w:numId w:val="2"/>
        </w:numPr>
        <w:rPr>
          <w:rFonts w:ascii="仿宋" w:hAnsi="仿宋" w:eastAsia="仿宋" w:cs="仿宋"/>
          <w:sz w:val="40"/>
          <w:szCs w:val="48"/>
        </w:rPr>
      </w:pPr>
      <w:r>
        <w:rPr>
          <w:rFonts w:hint="eastAsia" w:ascii="仿宋" w:hAnsi="仿宋" w:eastAsia="仿宋" w:cs="仿宋"/>
          <w:sz w:val="40"/>
          <w:szCs w:val="48"/>
        </w:rPr>
        <w:t>信息完善后点击“</w:t>
      </w:r>
      <w:r>
        <w:rPr>
          <w:rFonts w:hint="eastAsia" w:ascii="仿宋" w:hAnsi="仿宋" w:eastAsia="仿宋" w:cs="仿宋"/>
          <w:b/>
          <w:bCs/>
          <w:sz w:val="40"/>
          <w:szCs w:val="48"/>
        </w:rPr>
        <w:t>提交入驻申请</w:t>
      </w:r>
      <w:r>
        <w:rPr>
          <w:rFonts w:hint="eastAsia" w:ascii="仿宋" w:hAnsi="仿宋" w:eastAsia="仿宋" w:cs="仿宋"/>
          <w:sz w:val="40"/>
          <w:szCs w:val="48"/>
        </w:rPr>
        <w:t>”提交入库审核，提交成功页面会有相关提示</w:t>
      </w:r>
    </w:p>
    <w:p>
      <w:pPr>
        <w:rPr>
          <w:rFonts w:ascii="仿宋" w:hAnsi="仿宋" w:eastAsia="仿宋" w:cs="仿宋"/>
          <w:sz w:val="40"/>
          <w:szCs w:val="48"/>
        </w:rPr>
      </w:pPr>
    </w:p>
    <w:p>
      <w:r>
        <w:drawing>
          <wp:inline distT="0" distB="0" distL="114300" distR="114300">
            <wp:extent cx="5260340" cy="822325"/>
            <wp:effectExtent l="0" t="0" r="1651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0340" cy="822325"/>
                    </a:xfrm>
                    <a:prstGeom prst="rect">
                      <a:avLst/>
                    </a:prstGeom>
                    <a:noFill/>
                    <a:ln>
                      <a:noFill/>
                    </a:ln>
                  </pic:spPr>
                </pic:pic>
              </a:graphicData>
            </a:graphic>
          </wp:inline>
        </w:drawing>
      </w:r>
    </w:p>
    <w:p/>
    <w:p/>
    <w:p/>
    <w:p>
      <w:r>
        <w:drawing>
          <wp:inline distT="0" distB="0" distL="114300" distR="114300">
            <wp:extent cx="5266055" cy="2658745"/>
            <wp:effectExtent l="0" t="0" r="1079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6055" cy="2658745"/>
                    </a:xfrm>
                    <a:prstGeom prst="rect">
                      <a:avLst/>
                    </a:prstGeom>
                    <a:noFill/>
                    <a:ln>
                      <a:noFill/>
                    </a:ln>
                  </pic:spPr>
                </pic:pic>
              </a:graphicData>
            </a:graphic>
          </wp:inline>
        </w:drawing>
      </w:r>
    </w:p>
    <w:p/>
    <w:p>
      <w:pPr>
        <w:rPr>
          <w:rFonts w:ascii="仿宋" w:hAnsi="仿宋" w:eastAsia="仿宋" w:cs="仿宋"/>
          <w:sz w:val="40"/>
          <w:szCs w:val="48"/>
        </w:rPr>
      </w:pPr>
    </w:p>
    <w:p>
      <w:pPr>
        <w:pStyle w:val="2"/>
        <w:numPr>
          <w:ilvl w:val="0"/>
          <w:numId w:val="1"/>
        </w:numPr>
      </w:pPr>
      <w:r>
        <w:rPr>
          <w:rFonts w:hint="eastAsia"/>
        </w:rPr>
        <w:t>注意事项</w:t>
      </w:r>
    </w:p>
    <w:p>
      <w:pPr>
        <w:rPr>
          <w:rFonts w:ascii="仿宋" w:hAnsi="仿宋" w:eastAsia="仿宋" w:cs="仿宋"/>
          <w:sz w:val="40"/>
          <w:szCs w:val="48"/>
        </w:rPr>
      </w:pPr>
      <w:r>
        <w:rPr>
          <w:rFonts w:hint="eastAsia" w:ascii="仿宋" w:hAnsi="仿宋" w:eastAsia="仿宋" w:cs="仿宋"/>
          <w:sz w:val="40"/>
          <w:szCs w:val="48"/>
        </w:rPr>
        <w:t>1、专家注册企业采购专家库，入驻区划应该选择“政企区本级”</w:t>
      </w:r>
    </w:p>
    <w:p>
      <w:pPr>
        <w:rPr>
          <w:rFonts w:ascii="仿宋" w:hAnsi="仿宋" w:eastAsia="仿宋" w:cs="仿宋"/>
          <w:sz w:val="40"/>
          <w:szCs w:val="48"/>
        </w:rPr>
      </w:pPr>
      <w:r>
        <w:rPr>
          <w:rFonts w:hint="eastAsia" w:ascii="仿宋" w:hAnsi="仿宋" w:eastAsia="仿宋" w:cs="仿宋"/>
          <w:sz w:val="40"/>
          <w:szCs w:val="48"/>
        </w:rPr>
        <w:t>2、常驻地地址为判断专家所在地的唯一条件，需要正确填写目前工作生活的地区。</w:t>
      </w:r>
    </w:p>
    <w:p>
      <w:pPr>
        <w:rPr>
          <w:rFonts w:ascii="仿宋" w:hAnsi="仿宋" w:eastAsia="仿宋" w:cs="仿宋"/>
          <w:sz w:val="40"/>
          <w:szCs w:val="48"/>
        </w:rPr>
      </w:pPr>
      <w:r>
        <w:rPr>
          <w:rFonts w:hint="eastAsia" w:ascii="仿宋" w:hAnsi="仿宋" w:eastAsia="仿宋" w:cs="仿宋"/>
          <w:sz w:val="40"/>
          <w:szCs w:val="48"/>
        </w:rPr>
        <w:t>3、评审专业需要和政府采购专家库保持一致，一经发现不一致的情况按照政采云企业采购专家库管理办法相关条例进行处罚管理。</w:t>
      </w:r>
    </w:p>
    <w:p>
      <w:pPr>
        <w:rPr>
          <w:rFonts w:ascii="仿宋" w:hAnsi="仿宋" w:eastAsia="仿宋" w:cs="仿宋"/>
          <w:sz w:val="40"/>
          <w:szCs w:val="48"/>
        </w:rPr>
      </w:pPr>
      <w:r>
        <w:rPr>
          <w:rFonts w:hint="eastAsia" w:ascii="仿宋" w:hAnsi="仿宋" w:eastAsia="仿宋" w:cs="仿宋"/>
          <w:sz w:val="40"/>
          <w:szCs w:val="48"/>
        </w:rPr>
        <w:t>4、意愿评标地区可以全选</w:t>
      </w:r>
    </w:p>
    <w:p>
      <w:pPr>
        <w:rPr>
          <w:rFonts w:ascii="仿宋" w:hAnsi="仿宋" w:eastAsia="仿宋" w:cs="仿宋"/>
          <w:sz w:val="40"/>
          <w:szCs w:val="48"/>
        </w:rPr>
      </w:pPr>
      <w:r>
        <w:rPr>
          <w:rFonts w:hint="eastAsia" w:ascii="仿宋" w:hAnsi="仿宋" w:eastAsia="仿宋" w:cs="仿宋"/>
          <w:sz w:val="40"/>
          <w:szCs w:val="48"/>
        </w:rPr>
        <w:t>5、审核时间一般为3-5个工作日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大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28079"/>
    <w:multiLevelType w:val="singleLevel"/>
    <w:tmpl w:val="F0B28079"/>
    <w:lvl w:ilvl="0" w:tentative="0">
      <w:start w:val="2"/>
      <w:numFmt w:val="chineseCounting"/>
      <w:suff w:val="nothing"/>
      <w:lvlText w:val="%1、"/>
      <w:lvlJc w:val="left"/>
      <w:rPr>
        <w:rFonts w:hint="eastAsia"/>
      </w:rPr>
    </w:lvl>
  </w:abstractNum>
  <w:abstractNum w:abstractNumId="1">
    <w:nsid w:val="0969A44C"/>
    <w:multiLevelType w:val="singleLevel"/>
    <w:tmpl w:val="0969A44C"/>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9417FE"/>
    <w:rsid w:val="001506D1"/>
    <w:rsid w:val="007555E3"/>
    <w:rsid w:val="00847E4F"/>
    <w:rsid w:val="009D448E"/>
    <w:rsid w:val="00A10B84"/>
    <w:rsid w:val="00E05D4D"/>
    <w:rsid w:val="00F2672A"/>
    <w:rsid w:val="08416E0C"/>
    <w:rsid w:val="117414D0"/>
    <w:rsid w:val="236D7710"/>
    <w:rsid w:val="2E4F191B"/>
    <w:rsid w:val="2F982BD7"/>
    <w:rsid w:val="33CE55D8"/>
    <w:rsid w:val="406008DD"/>
    <w:rsid w:val="52053204"/>
    <w:rsid w:val="54D96651"/>
    <w:rsid w:val="56CB0E99"/>
    <w:rsid w:val="7B94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280</Words>
  <Characters>1601</Characters>
  <Lines>13</Lines>
  <Paragraphs>3</Paragraphs>
  <TotalTime>38</TotalTime>
  <ScaleCrop>false</ScaleCrop>
  <LinksUpToDate>false</LinksUpToDate>
  <CharactersWithSpaces>1878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2021-12-22T08:02:00Z</dcterms:created>
  <dc:creator>Pixit</dc:creator>
  <cp:lastModifiedBy>执剑倚天涯</cp:lastModifiedBy>
  <dcterms:modified xsi:type="dcterms:W3CDTF">2021-12-23T02:01:06Z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83F1FE13DB9345F5997B1339B084E710</vt:lpwstr>
  </property>
</Properties>
</file>