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eastAsia" w:asciiTheme="minorEastAsia" w:hAnsiTheme="minorEastAsia"/>
          <w:b/>
          <w:sz w:val="44"/>
          <w:szCs w:val="44"/>
          <w:highlight w:val="none"/>
        </w:rPr>
      </w:pPr>
      <w:bookmarkStart w:id="0" w:name="OLE_LINK2"/>
      <w:bookmarkStart w:id="1" w:name="OLE_LINK1"/>
      <w:r>
        <w:rPr>
          <w:rFonts w:hint="eastAsia" w:asciiTheme="minorEastAsia" w:hAnsiTheme="minorEastAsia"/>
          <w:b/>
          <w:sz w:val="44"/>
          <w:szCs w:val="44"/>
          <w:highlight w:val="none"/>
        </w:rPr>
        <w:t>浙江省</w:t>
      </w:r>
      <w:bookmarkStart w:id="2" w:name="_Toc428343302"/>
      <w:bookmarkStart w:id="3" w:name="_Toc428343397"/>
      <w:bookmarkStart w:id="4" w:name="_Toc428343602"/>
      <w:bookmarkStart w:id="5" w:name="_Toc428343774"/>
      <w:bookmarkStart w:id="6" w:name="_Toc428343408"/>
      <w:r>
        <w:rPr>
          <w:rFonts w:hint="eastAsia" w:asciiTheme="minorEastAsia" w:hAnsiTheme="minorEastAsia"/>
          <w:b/>
          <w:sz w:val="44"/>
          <w:szCs w:val="44"/>
          <w:highlight w:val="none"/>
          <w:lang w:eastAsia="zh-CN"/>
        </w:rPr>
        <w:t>安吉</w:t>
      </w:r>
      <w:r>
        <w:rPr>
          <w:rFonts w:hint="eastAsia" w:asciiTheme="minorEastAsia" w:hAnsiTheme="minorEastAsia"/>
          <w:b/>
          <w:sz w:val="44"/>
          <w:szCs w:val="44"/>
          <w:highlight w:val="none"/>
        </w:rPr>
        <w:t>县集体经营性</w:t>
      </w:r>
    </w:p>
    <w:p>
      <w:pPr>
        <w:spacing w:line="600" w:lineRule="exact"/>
        <w:jc w:val="center"/>
        <w:rPr>
          <w:rFonts w:hint="eastAsia" w:asciiTheme="minorEastAsia" w:hAnsiTheme="minorEastAsia"/>
          <w:b/>
          <w:sz w:val="44"/>
          <w:szCs w:val="44"/>
          <w:highlight w:val="none"/>
        </w:rPr>
      </w:pPr>
      <w:r>
        <w:rPr>
          <w:rFonts w:hint="eastAsia" w:asciiTheme="minorEastAsia" w:hAnsiTheme="minorEastAsia"/>
          <w:b/>
          <w:sz w:val="44"/>
          <w:szCs w:val="44"/>
          <w:highlight w:val="none"/>
        </w:rPr>
        <w:t>建设用地</w:t>
      </w:r>
      <w:r>
        <w:rPr>
          <w:rFonts w:hint="eastAsia" w:asciiTheme="minorEastAsia" w:hAnsiTheme="minorEastAsia"/>
          <w:b/>
          <w:color w:val="auto"/>
          <w:sz w:val="44"/>
          <w:szCs w:val="44"/>
          <w:highlight w:val="none"/>
          <w:shd w:val="clear" w:color="auto" w:fill="auto"/>
          <w:lang w:eastAsia="zh-CN"/>
        </w:rPr>
        <w:t>（农业“标准地”）</w:t>
      </w:r>
      <w:r>
        <w:rPr>
          <w:rFonts w:hint="eastAsia" w:asciiTheme="minorEastAsia" w:hAnsiTheme="minorEastAsia"/>
          <w:b/>
          <w:sz w:val="44"/>
          <w:szCs w:val="44"/>
          <w:highlight w:val="none"/>
        </w:rPr>
        <w:t>使用权挂牌出让公告</w:t>
      </w:r>
      <w:bookmarkEnd w:id="2"/>
      <w:bookmarkEnd w:id="3"/>
      <w:bookmarkEnd w:id="4"/>
      <w:bookmarkEnd w:id="5"/>
      <w:bookmarkEnd w:id="6"/>
    </w:p>
    <w:p>
      <w:pPr>
        <w:spacing w:line="600" w:lineRule="exact"/>
        <w:jc w:val="center"/>
        <w:rPr>
          <w:rFonts w:hint="eastAsia" w:ascii="楷体" w:hAnsi="楷体" w:eastAsia="楷体"/>
          <w:b/>
          <w:sz w:val="32"/>
          <w:szCs w:val="32"/>
          <w:highlight w:val="none"/>
        </w:rPr>
      </w:pPr>
      <w:bookmarkStart w:id="7" w:name="_Toc428343303"/>
      <w:r>
        <w:rPr>
          <w:rFonts w:hint="eastAsia" w:ascii="楷体" w:hAnsi="楷体" w:eastAsia="楷体"/>
          <w:b/>
          <w:sz w:val="32"/>
          <w:szCs w:val="32"/>
          <w:highlight w:val="none"/>
          <w:lang w:eastAsia="zh-CN"/>
        </w:rPr>
        <w:t>安</w:t>
      </w:r>
      <w:r>
        <w:rPr>
          <w:rFonts w:hint="eastAsia" w:ascii="楷体" w:hAnsi="楷体" w:eastAsia="楷体"/>
          <w:b/>
          <w:sz w:val="32"/>
          <w:szCs w:val="32"/>
          <w:highlight w:val="none"/>
        </w:rPr>
        <w:t>集土</w:t>
      </w:r>
      <w:r>
        <w:rPr>
          <w:rFonts w:hint="eastAsia" w:ascii="楷体" w:hAnsi="楷体" w:eastAsia="楷体"/>
          <w:b/>
          <w:sz w:val="32"/>
          <w:szCs w:val="32"/>
          <w:highlight w:val="none"/>
          <w:lang w:eastAsia="zh-CN"/>
        </w:rPr>
        <w:t>让</w:t>
      </w:r>
      <w:r>
        <w:rPr>
          <w:rFonts w:hint="eastAsia" w:ascii="楷体" w:hAnsi="楷体" w:eastAsia="楷体"/>
          <w:b/>
          <w:sz w:val="32"/>
          <w:szCs w:val="32"/>
          <w:highlight w:val="none"/>
        </w:rPr>
        <w:t>字（</w:t>
      </w:r>
      <w:r>
        <w:rPr>
          <w:rFonts w:hint="eastAsia" w:ascii="楷体" w:hAnsi="楷体" w:eastAsia="楷体"/>
          <w:b/>
          <w:sz w:val="32"/>
          <w:szCs w:val="32"/>
          <w:highlight w:val="none"/>
          <w:lang w:val="en-US" w:eastAsia="zh-CN"/>
        </w:rPr>
        <w:t>2020</w:t>
      </w:r>
      <w:r>
        <w:rPr>
          <w:rFonts w:hint="eastAsia" w:ascii="楷体" w:hAnsi="楷体" w:eastAsia="楷体"/>
          <w:b/>
          <w:sz w:val="32"/>
          <w:szCs w:val="32"/>
          <w:highlight w:val="none"/>
        </w:rPr>
        <w:t>）第</w:t>
      </w:r>
      <w:r>
        <w:rPr>
          <w:rFonts w:hint="eastAsia" w:ascii="楷体" w:hAnsi="楷体" w:eastAsia="楷体"/>
          <w:b/>
          <w:sz w:val="32"/>
          <w:szCs w:val="32"/>
          <w:highlight w:val="none"/>
          <w:lang w:val="en-US" w:eastAsia="zh-CN"/>
        </w:rPr>
        <w:t>001</w:t>
      </w:r>
      <w:r>
        <w:rPr>
          <w:rFonts w:hint="eastAsia" w:ascii="楷体" w:hAnsi="楷体" w:eastAsia="楷体"/>
          <w:b/>
          <w:sz w:val="32"/>
          <w:szCs w:val="32"/>
          <w:highlight w:val="none"/>
        </w:rPr>
        <w:t>号</w:t>
      </w:r>
      <w:bookmarkEnd w:id="7"/>
    </w:p>
    <w:p>
      <w:pPr>
        <w:spacing w:line="600" w:lineRule="exact"/>
        <w:jc w:val="center"/>
        <w:rPr>
          <w:rFonts w:hint="eastAsia" w:ascii="楷体" w:hAnsi="楷体" w:eastAsia="楷体"/>
          <w:b/>
          <w:sz w:val="32"/>
          <w:szCs w:val="32"/>
          <w:highlight w:val="none"/>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sz w:val="32"/>
          <w:szCs w:val="32"/>
          <w:lang w:eastAsia="zh-CN"/>
        </w:rPr>
      </w:pPr>
      <w:bookmarkStart w:id="8" w:name="OLE_LINK3"/>
      <w:r>
        <w:rPr>
          <w:rFonts w:hint="eastAsia" w:ascii="仿宋" w:hAnsi="仿宋" w:eastAsia="仿宋"/>
          <w:sz w:val="32"/>
          <w:szCs w:val="32"/>
          <w:lang w:eastAsia="zh-CN"/>
        </w:rPr>
        <w:t>经安吉县人民政府核准，安吉县递铺街道鲁家村村股份经济合作社决定以挂牌方式出让一宗地块的集体经营性建设用地（农业“标准地”）使用权。现将有关事项公告如下：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sz w:val="32"/>
          <w:szCs w:val="32"/>
          <w:lang w:eastAsia="zh-CN"/>
        </w:rPr>
      </w:pPr>
      <w:r>
        <w:rPr>
          <w:rFonts w:hint="eastAsia" w:ascii="仿宋" w:hAnsi="仿宋" w:eastAsia="仿宋"/>
          <w:sz w:val="32"/>
          <w:szCs w:val="32"/>
          <w:lang w:eastAsia="zh-CN"/>
        </w:rPr>
        <w:t>一、出让地块的基本情况和规划指标要求</w:t>
      </w:r>
      <w:bookmarkStart w:id="9" w:name="_GoBack"/>
      <w:bookmarkEnd w:id="9"/>
    </w:p>
    <w:tbl>
      <w:tblPr>
        <w:tblStyle w:val="7"/>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15" w:type="dxa"/>
          <w:left w:w="15" w:type="dxa"/>
          <w:bottom w:w="15" w:type="dxa"/>
          <w:right w:w="15" w:type="dxa"/>
        </w:tblCellMar>
      </w:tblPr>
      <w:tblGrid>
        <w:gridCol w:w="1048"/>
        <w:gridCol w:w="1460"/>
        <w:gridCol w:w="1521"/>
        <w:gridCol w:w="1137"/>
        <w:gridCol w:w="1243"/>
        <w:gridCol w:w="1569"/>
        <w:gridCol w:w="1254"/>
        <w:gridCol w:w="1349"/>
        <w:gridCol w:w="975"/>
        <w:gridCol w:w="705"/>
        <w:gridCol w:w="649"/>
        <w:gridCol w:w="10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542" w:hRule="atLeast"/>
        </w:trPr>
        <w:tc>
          <w:tcPr>
            <w:tcW w:w="376" w:type="pct"/>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highlight w:val="none"/>
                <w:u w:val="none"/>
              </w:rPr>
            </w:pPr>
            <w:r>
              <w:rPr>
                <w:rFonts w:hint="eastAsia" w:ascii="仿宋" w:hAnsi="仿宋" w:eastAsia="仿宋" w:cs="仿宋"/>
                <w:i w:val="0"/>
                <w:color w:val="000000"/>
                <w:kern w:val="0"/>
                <w:sz w:val="24"/>
                <w:szCs w:val="24"/>
                <w:highlight w:val="none"/>
                <w:u w:val="none"/>
                <w:lang w:val="en-US" w:eastAsia="zh-CN" w:bidi="ar"/>
              </w:rPr>
              <w:t>地块序号</w:t>
            </w:r>
          </w:p>
        </w:tc>
        <w:tc>
          <w:tcPr>
            <w:tcW w:w="524" w:type="pct"/>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highlight w:val="none"/>
                <w:u w:val="none"/>
                <w:lang w:val="en-US" w:eastAsia="zh-CN" w:bidi="ar"/>
              </w:rPr>
            </w:pPr>
            <w:r>
              <w:rPr>
                <w:rFonts w:hint="eastAsia" w:ascii="仿宋" w:hAnsi="仿宋" w:eastAsia="仿宋" w:cs="仿宋"/>
                <w:i w:val="0"/>
                <w:color w:val="000000"/>
                <w:kern w:val="0"/>
                <w:sz w:val="24"/>
                <w:szCs w:val="24"/>
                <w:highlight w:val="none"/>
                <w:u w:val="none"/>
                <w:lang w:val="en-US" w:eastAsia="zh-CN" w:bidi="ar"/>
              </w:rPr>
              <w:t>地块名称</w:t>
            </w:r>
          </w:p>
        </w:tc>
        <w:tc>
          <w:tcPr>
            <w:tcW w:w="546" w:type="pct"/>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highlight w:val="none"/>
                <w:u w:val="none"/>
              </w:rPr>
            </w:pPr>
            <w:r>
              <w:rPr>
                <w:rFonts w:hint="eastAsia" w:ascii="仿宋" w:hAnsi="仿宋" w:eastAsia="仿宋" w:cs="仿宋"/>
                <w:i w:val="0"/>
                <w:color w:val="000000"/>
                <w:kern w:val="0"/>
                <w:sz w:val="24"/>
                <w:szCs w:val="24"/>
                <w:highlight w:val="none"/>
                <w:u w:val="none"/>
                <w:lang w:val="en-US" w:eastAsia="zh-CN" w:bidi="ar"/>
              </w:rPr>
              <w:t>土地位置</w:t>
            </w:r>
          </w:p>
        </w:tc>
        <w:tc>
          <w:tcPr>
            <w:tcW w:w="408" w:type="pct"/>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highlight w:val="none"/>
                <w:u w:val="none"/>
              </w:rPr>
            </w:pPr>
            <w:r>
              <w:rPr>
                <w:rFonts w:hint="eastAsia" w:ascii="仿宋" w:hAnsi="仿宋" w:eastAsia="仿宋" w:cs="仿宋"/>
                <w:i w:val="0"/>
                <w:color w:val="000000"/>
                <w:kern w:val="0"/>
                <w:sz w:val="24"/>
                <w:szCs w:val="24"/>
                <w:highlight w:val="none"/>
                <w:u w:val="none"/>
                <w:lang w:val="en-US" w:eastAsia="zh-CN" w:bidi="ar"/>
              </w:rPr>
              <w:t>出让面积（平方米）</w:t>
            </w:r>
          </w:p>
        </w:tc>
        <w:tc>
          <w:tcPr>
            <w:tcW w:w="446" w:type="pct"/>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highlight w:val="none"/>
                <w:u w:val="none"/>
              </w:rPr>
            </w:pPr>
            <w:r>
              <w:rPr>
                <w:rFonts w:hint="eastAsia" w:ascii="仿宋" w:hAnsi="仿宋" w:eastAsia="仿宋" w:cs="仿宋"/>
                <w:i w:val="0"/>
                <w:color w:val="000000"/>
                <w:kern w:val="0"/>
                <w:sz w:val="24"/>
                <w:szCs w:val="24"/>
                <w:highlight w:val="none"/>
                <w:u w:val="none"/>
                <w:lang w:val="en-US" w:eastAsia="zh-CN" w:bidi="ar"/>
              </w:rPr>
              <w:t>土地用途</w:t>
            </w:r>
          </w:p>
        </w:tc>
        <w:tc>
          <w:tcPr>
            <w:tcW w:w="563" w:type="pct"/>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highlight w:val="none"/>
                <w:u w:val="none"/>
              </w:rPr>
            </w:pPr>
            <w:r>
              <w:rPr>
                <w:rFonts w:hint="eastAsia" w:ascii="仿宋" w:hAnsi="仿宋" w:eastAsia="仿宋" w:cs="仿宋"/>
                <w:i w:val="0"/>
                <w:color w:val="000000"/>
                <w:kern w:val="0"/>
                <w:sz w:val="24"/>
                <w:szCs w:val="24"/>
                <w:highlight w:val="none"/>
                <w:u w:val="none"/>
                <w:lang w:val="en-US" w:eastAsia="zh-CN" w:bidi="ar"/>
              </w:rPr>
              <w:t>出让年限（年）</w:t>
            </w:r>
          </w:p>
        </w:tc>
        <w:tc>
          <w:tcPr>
            <w:tcW w:w="450" w:type="pct"/>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highlight w:val="none"/>
                <w:u w:val="none"/>
                <w:lang w:val="en-US" w:eastAsia="zh-CN" w:bidi="ar"/>
              </w:rPr>
            </w:pPr>
            <w:r>
              <w:rPr>
                <w:rFonts w:hint="eastAsia" w:ascii="仿宋" w:hAnsi="仿宋" w:eastAsia="仿宋" w:cs="仿宋"/>
                <w:i w:val="0"/>
                <w:color w:val="000000"/>
                <w:kern w:val="0"/>
                <w:sz w:val="24"/>
                <w:szCs w:val="24"/>
                <w:highlight w:val="none"/>
                <w:u w:val="none"/>
                <w:lang w:val="en-US" w:eastAsia="zh-CN" w:bidi="ar"/>
              </w:rPr>
              <w:t>竞买保证金（万元）</w:t>
            </w:r>
          </w:p>
        </w:tc>
        <w:tc>
          <w:tcPr>
            <w:tcW w:w="484" w:type="pct"/>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highlight w:val="none"/>
                <w:u w:val="none"/>
                <w:lang w:val="en-US" w:eastAsia="zh-CN" w:bidi="ar"/>
              </w:rPr>
            </w:pPr>
            <w:r>
              <w:rPr>
                <w:rFonts w:hint="eastAsia" w:ascii="仿宋" w:hAnsi="仿宋" w:eastAsia="仿宋" w:cs="仿宋"/>
                <w:i w:val="0"/>
                <w:color w:val="000000"/>
                <w:kern w:val="0"/>
                <w:sz w:val="24"/>
                <w:szCs w:val="24"/>
                <w:highlight w:val="none"/>
                <w:u w:val="none"/>
                <w:lang w:val="en-US" w:eastAsia="zh-CN" w:bidi="ar"/>
              </w:rPr>
              <w:t>起始价（万元）</w:t>
            </w:r>
          </w:p>
        </w:tc>
        <w:tc>
          <w:tcPr>
            <w:tcW w:w="836" w:type="pct"/>
            <w:gridSpan w:val="3"/>
            <w:shd w:val="clear" w:color="auto" w:fill="auto"/>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highlight w:val="none"/>
                <w:u w:val="none"/>
              </w:rPr>
            </w:pPr>
            <w:r>
              <w:rPr>
                <w:rFonts w:hint="eastAsia" w:ascii="仿宋" w:hAnsi="仿宋" w:eastAsia="仿宋" w:cs="仿宋"/>
                <w:i w:val="0"/>
                <w:color w:val="000000"/>
                <w:kern w:val="0"/>
                <w:sz w:val="24"/>
                <w:szCs w:val="24"/>
                <w:highlight w:val="none"/>
                <w:u w:val="none"/>
                <w:lang w:val="en-US" w:eastAsia="zh-CN" w:bidi="ar"/>
              </w:rPr>
              <w:t>规划要求</w:t>
            </w:r>
          </w:p>
        </w:tc>
        <w:tc>
          <w:tcPr>
            <w:tcW w:w="364" w:type="pct"/>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highlight w:val="none"/>
                <w:u w:val="none"/>
                <w:lang w:val="en-US" w:eastAsia="zh-CN" w:bidi="ar"/>
              </w:rPr>
            </w:pPr>
            <w:r>
              <w:rPr>
                <w:rFonts w:hint="eastAsia" w:ascii="仿宋" w:hAnsi="仿宋" w:eastAsia="仿宋" w:cs="仿宋"/>
                <w:i w:val="0"/>
                <w:color w:val="000000"/>
                <w:kern w:val="0"/>
                <w:sz w:val="24"/>
                <w:szCs w:val="24"/>
                <w:highlight w:val="none"/>
                <w:u w:val="none"/>
                <w:lang w:val="en-US" w:eastAsia="zh-CN" w:bidi="ar"/>
              </w:rPr>
              <w:t>其它相关要求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79" w:hRule="atLeast"/>
        </w:trPr>
        <w:tc>
          <w:tcPr>
            <w:tcW w:w="376" w:type="pct"/>
            <w:vMerge w:val="continue"/>
            <w:shd w:val="clear" w:color="auto" w:fill="auto"/>
            <w:vAlign w:val="center"/>
          </w:tcPr>
          <w:p>
            <w:pPr>
              <w:jc w:val="center"/>
              <w:rPr>
                <w:rFonts w:hint="eastAsia" w:ascii="仿宋" w:hAnsi="仿宋" w:eastAsia="仿宋" w:cs="仿宋"/>
                <w:i w:val="0"/>
                <w:color w:val="000000"/>
                <w:sz w:val="24"/>
                <w:szCs w:val="24"/>
                <w:highlight w:val="none"/>
                <w:u w:val="none"/>
              </w:rPr>
            </w:pPr>
          </w:p>
        </w:tc>
        <w:tc>
          <w:tcPr>
            <w:tcW w:w="524" w:type="pct"/>
            <w:vMerge w:val="continue"/>
            <w:shd w:val="clear" w:color="auto" w:fill="auto"/>
            <w:vAlign w:val="center"/>
          </w:tcPr>
          <w:p>
            <w:pPr>
              <w:jc w:val="center"/>
              <w:rPr>
                <w:rFonts w:hint="eastAsia" w:ascii="仿宋" w:hAnsi="仿宋" w:eastAsia="仿宋" w:cs="仿宋"/>
                <w:i w:val="0"/>
                <w:color w:val="000000"/>
                <w:sz w:val="24"/>
                <w:szCs w:val="24"/>
                <w:highlight w:val="none"/>
                <w:u w:val="none"/>
              </w:rPr>
            </w:pPr>
          </w:p>
        </w:tc>
        <w:tc>
          <w:tcPr>
            <w:tcW w:w="546" w:type="pct"/>
            <w:vMerge w:val="continue"/>
            <w:shd w:val="clear" w:color="auto" w:fill="auto"/>
            <w:vAlign w:val="center"/>
          </w:tcPr>
          <w:p>
            <w:pPr>
              <w:jc w:val="center"/>
              <w:rPr>
                <w:rFonts w:hint="eastAsia" w:ascii="仿宋" w:hAnsi="仿宋" w:eastAsia="仿宋" w:cs="仿宋"/>
                <w:i w:val="0"/>
                <w:color w:val="000000"/>
                <w:sz w:val="24"/>
                <w:szCs w:val="24"/>
                <w:highlight w:val="none"/>
                <w:u w:val="none"/>
              </w:rPr>
            </w:pPr>
          </w:p>
        </w:tc>
        <w:tc>
          <w:tcPr>
            <w:tcW w:w="408" w:type="pct"/>
            <w:vMerge w:val="continue"/>
            <w:shd w:val="clear" w:color="auto" w:fill="auto"/>
            <w:vAlign w:val="center"/>
          </w:tcPr>
          <w:p>
            <w:pPr>
              <w:jc w:val="center"/>
              <w:rPr>
                <w:rFonts w:hint="eastAsia" w:ascii="仿宋" w:hAnsi="仿宋" w:eastAsia="仿宋" w:cs="仿宋"/>
                <w:i w:val="0"/>
                <w:color w:val="000000"/>
                <w:sz w:val="24"/>
                <w:szCs w:val="24"/>
                <w:highlight w:val="none"/>
                <w:u w:val="none"/>
              </w:rPr>
            </w:pPr>
          </w:p>
        </w:tc>
        <w:tc>
          <w:tcPr>
            <w:tcW w:w="446" w:type="pct"/>
            <w:vMerge w:val="continue"/>
            <w:shd w:val="clear" w:color="auto" w:fill="auto"/>
            <w:vAlign w:val="center"/>
          </w:tcPr>
          <w:p>
            <w:pPr>
              <w:jc w:val="center"/>
              <w:rPr>
                <w:rFonts w:hint="eastAsia" w:ascii="仿宋" w:hAnsi="仿宋" w:eastAsia="仿宋" w:cs="仿宋"/>
                <w:i w:val="0"/>
                <w:color w:val="000000"/>
                <w:sz w:val="24"/>
                <w:szCs w:val="24"/>
                <w:highlight w:val="none"/>
                <w:u w:val="none"/>
              </w:rPr>
            </w:pPr>
          </w:p>
        </w:tc>
        <w:tc>
          <w:tcPr>
            <w:tcW w:w="563" w:type="pct"/>
            <w:vMerge w:val="continue"/>
            <w:shd w:val="clear" w:color="auto" w:fill="auto"/>
            <w:vAlign w:val="center"/>
          </w:tcPr>
          <w:p>
            <w:pPr>
              <w:jc w:val="center"/>
              <w:rPr>
                <w:rFonts w:hint="eastAsia" w:ascii="仿宋" w:hAnsi="仿宋" w:eastAsia="仿宋" w:cs="仿宋"/>
                <w:i w:val="0"/>
                <w:color w:val="000000"/>
                <w:sz w:val="24"/>
                <w:szCs w:val="24"/>
                <w:highlight w:val="none"/>
                <w:u w:val="none"/>
              </w:rPr>
            </w:pPr>
          </w:p>
        </w:tc>
        <w:tc>
          <w:tcPr>
            <w:tcW w:w="450" w:type="pct"/>
            <w:vMerge w:val="continue"/>
            <w:shd w:val="clear" w:color="auto" w:fill="auto"/>
            <w:vAlign w:val="center"/>
          </w:tcPr>
          <w:p>
            <w:pPr>
              <w:jc w:val="center"/>
              <w:rPr>
                <w:rFonts w:hint="eastAsia" w:ascii="仿宋" w:hAnsi="仿宋" w:eastAsia="仿宋" w:cs="仿宋"/>
                <w:i w:val="0"/>
                <w:color w:val="000000"/>
                <w:sz w:val="24"/>
                <w:szCs w:val="24"/>
                <w:highlight w:val="none"/>
                <w:u w:val="none"/>
              </w:rPr>
            </w:pPr>
          </w:p>
        </w:tc>
        <w:tc>
          <w:tcPr>
            <w:tcW w:w="484" w:type="pct"/>
            <w:vMerge w:val="continue"/>
            <w:shd w:val="clear" w:color="auto" w:fill="auto"/>
            <w:vAlign w:val="center"/>
          </w:tcPr>
          <w:p>
            <w:pPr>
              <w:jc w:val="center"/>
              <w:rPr>
                <w:rFonts w:hint="eastAsia" w:ascii="仿宋" w:hAnsi="仿宋" w:eastAsia="仿宋" w:cs="仿宋"/>
                <w:i w:val="0"/>
                <w:color w:val="000000"/>
                <w:sz w:val="24"/>
                <w:szCs w:val="24"/>
                <w:highlight w:val="none"/>
                <w:u w:val="none"/>
              </w:rPr>
            </w:pPr>
          </w:p>
        </w:tc>
        <w:tc>
          <w:tcPr>
            <w:tcW w:w="350" w:type="pct"/>
            <w:shd w:val="clear" w:color="auto" w:fill="auto"/>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highlight w:val="none"/>
                <w:u w:val="none"/>
              </w:rPr>
            </w:pPr>
            <w:r>
              <w:rPr>
                <w:rFonts w:hint="eastAsia" w:ascii="仿宋" w:hAnsi="仿宋" w:eastAsia="仿宋" w:cs="仿宋"/>
                <w:i w:val="0"/>
                <w:color w:val="000000"/>
                <w:kern w:val="0"/>
                <w:sz w:val="24"/>
                <w:szCs w:val="24"/>
                <w:highlight w:val="none"/>
                <w:u w:val="none"/>
                <w:lang w:val="en-US" w:eastAsia="zh-CN" w:bidi="ar"/>
              </w:rPr>
              <w:t>容积率</w:t>
            </w:r>
          </w:p>
        </w:tc>
        <w:tc>
          <w:tcPr>
            <w:tcW w:w="253" w:type="pct"/>
            <w:shd w:val="clear" w:color="auto" w:fill="auto"/>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highlight w:val="none"/>
                <w:u w:val="none"/>
              </w:rPr>
            </w:pPr>
            <w:r>
              <w:rPr>
                <w:rFonts w:hint="eastAsia" w:ascii="仿宋" w:hAnsi="仿宋" w:eastAsia="仿宋" w:cs="仿宋"/>
                <w:i w:val="0"/>
                <w:color w:val="000000"/>
                <w:kern w:val="0"/>
                <w:sz w:val="24"/>
                <w:szCs w:val="24"/>
                <w:highlight w:val="none"/>
                <w:u w:val="none"/>
                <w:lang w:val="en-US" w:eastAsia="zh-CN" w:bidi="ar"/>
              </w:rPr>
              <w:t>建筑密度</w:t>
            </w:r>
          </w:p>
        </w:tc>
        <w:tc>
          <w:tcPr>
            <w:tcW w:w="233" w:type="pct"/>
            <w:shd w:val="clear" w:color="auto" w:fill="auto"/>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highlight w:val="none"/>
                <w:u w:val="none"/>
              </w:rPr>
            </w:pPr>
            <w:r>
              <w:rPr>
                <w:rFonts w:hint="eastAsia" w:ascii="仿宋" w:hAnsi="仿宋" w:eastAsia="仿宋" w:cs="仿宋"/>
                <w:i w:val="0"/>
                <w:color w:val="000000"/>
                <w:kern w:val="0"/>
                <w:sz w:val="24"/>
                <w:szCs w:val="24"/>
                <w:highlight w:val="none"/>
                <w:u w:val="none"/>
                <w:lang w:val="en-US" w:eastAsia="zh-CN" w:bidi="ar"/>
              </w:rPr>
              <w:t>绿地率</w:t>
            </w:r>
          </w:p>
        </w:tc>
        <w:tc>
          <w:tcPr>
            <w:tcW w:w="364" w:type="pct"/>
            <w:vMerge w:val="continue"/>
            <w:shd w:val="clear" w:color="auto" w:fill="auto"/>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43" w:hRule="atLeast"/>
        </w:trPr>
        <w:tc>
          <w:tcPr>
            <w:tcW w:w="376" w:type="pct"/>
            <w:shd w:val="clear" w:color="auto" w:fill="auto"/>
            <w:vAlign w:val="center"/>
          </w:tcPr>
          <w:p>
            <w:pPr>
              <w:jc w:val="center"/>
              <w:rPr>
                <w:rFonts w:hint="eastAsia" w:ascii="仿宋" w:hAnsi="仿宋" w:eastAsia="仿宋" w:cs="仿宋"/>
                <w:i w:val="0"/>
                <w:color w:val="000000"/>
                <w:sz w:val="24"/>
                <w:szCs w:val="24"/>
                <w:highlight w:val="none"/>
                <w:u w:val="none"/>
                <w:lang w:val="en-US" w:eastAsia="zh-CN"/>
              </w:rPr>
            </w:pPr>
            <w:r>
              <w:rPr>
                <w:rFonts w:hint="eastAsia" w:ascii="仿宋" w:hAnsi="仿宋" w:eastAsia="仿宋" w:cs="仿宋"/>
                <w:i w:val="0"/>
                <w:color w:val="000000"/>
                <w:sz w:val="24"/>
                <w:szCs w:val="24"/>
                <w:highlight w:val="none"/>
                <w:u w:val="none"/>
                <w:lang w:val="en-US" w:eastAsia="zh-CN"/>
              </w:rPr>
              <w:t>JT2020-1</w:t>
            </w:r>
          </w:p>
        </w:tc>
        <w:tc>
          <w:tcPr>
            <w:tcW w:w="524" w:type="pct"/>
            <w:shd w:val="clear" w:color="auto" w:fill="auto"/>
            <w:vAlign w:val="center"/>
          </w:tcPr>
          <w:p>
            <w:pPr>
              <w:jc w:val="center"/>
              <w:rPr>
                <w:rFonts w:hint="eastAsia" w:ascii="仿宋" w:hAnsi="仿宋" w:eastAsia="仿宋" w:cs="仿宋"/>
                <w:i w:val="0"/>
                <w:color w:val="000000"/>
                <w:sz w:val="24"/>
                <w:szCs w:val="24"/>
                <w:highlight w:val="none"/>
                <w:u w:val="none"/>
                <w:lang w:val="en-US" w:eastAsia="zh-CN"/>
              </w:rPr>
            </w:pPr>
            <w:r>
              <w:rPr>
                <w:rFonts w:hint="eastAsia" w:ascii="仿宋" w:hAnsi="仿宋" w:eastAsia="仿宋" w:cs="仿宋"/>
                <w:i w:val="0"/>
                <w:color w:val="000000"/>
                <w:sz w:val="24"/>
                <w:szCs w:val="24"/>
                <w:highlight w:val="none"/>
                <w:u w:val="none"/>
                <w:lang w:eastAsia="zh-CN"/>
              </w:rPr>
              <w:t>递铺街道</w:t>
            </w:r>
            <w:r>
              <w:rPr>
                <w:rFonts w:hint="eastAsia" w:ascii="仿宋" w:hAnsi="仿宋" w:eastAsia="仿宋" w:cs="仿宋"/>
                <w:i w:val="0"/>
                <w:color w:val="000000"/>
                <w:sz w:val="24"/>
                <w:szCs w:val="24"/>
                <w:highlight w:val="none"/>
                <w:u w:val="none"/>
                <w:lang w:val="en-US" w:eastAsia="zh-CN"/>
              </w:rPr>
              <w:t>2019-470地块</w:t>
            </w:r>
          </w:p>
        </w:tc>
        <w:tc>
          <w:tcPr>
            <w:tcW w:w="546" w:type="pct"/>
            <w:shd w:val="clear" w:color="auto" w:fill="auto"/>
            <w:vAlign w:val="center"/>
          </w:tcPr>
          <w:p>
            <w:pPr>
              <w:jc w:val="center"/>
              <w:rPr>
                <w:rFonts w:hint="eastAsia" w:ascii="仿宋" w:hAnsi="仿宋" w:eastAsia="仿宋" w:cs="仿宋"/>
                <w:i w:val="0"/>
                <w:color w:val="000000"/>
                <w:sz w:val="24"/>
                <w:szCs w:val="24"/>
                <w:highlight w:val="none"/>
                <w:u w:val="none"/>
                <w:lang w:eastAsia="zh-CN"/>
              </w:rPr>
            </w:pPr>
            <w:r>
              <w:rPr>
                <w:rFonts w:hint="eastAsia" w:ascii="仿宋" w:hAnsi="仿宋" w:eastAsia="仿宋" w:cs="仿宋"/>
                <w:i w:val="0"/>
                <w:color w:val="000000"/>
                <w:sz w:val="24"/>
                <w:szCs w:val="24"/>
                <w:highlight w:val="none"/>
                <w:u w:val="none"/>
                <w:lang w:eastAsia="zh-CN"/>
              </w:rPr>
              <w:t>递铺街道鲁家村</w:t>
            </w:r>
          </w:p>
        </w:tc>
        <w:tc>
          <w:tcPr>
            <w:tcW w:w="408" w:type="pct"/>
            <w:shd w:val="clear" w:color="auto" w:fill="auto"/>
            <w:vAlign w:val="center"/>
          </w:tcPr>
          <w:p>
            <w:pPr>
              <w:jc w:val="center"/>
              <w:rPr>
                <w:rFonts w:hint="eastAsia" w:ascii="仿宋" w:hAnsi="仿宋" w:eastAsia="仿宋" w:cs="仿宋"/>
                <w:i w:val="0"/>
                <w:color w:val="000000"/>
                <w:sz w:val="24"/>
                <w:szCs w:val="24"/>
                <w:highlight w:val="none"/>
                <w:u w:val="none"/>
                <w:lang w:val="en-US" w:eastAsia="zh-CN"/>
              </w:rPr>
            </w:pPr>
            <w:r>
              <w:rPr>
                <w:rFonts w:hint="eastAsia" w:ascii="仿宋" w:hAnsi="仿宋" w:eastAsia="仿宋" w:cs="仿宋"/>
                <w:i w:val="0"/>
                <w:color w:val="000000"/>
                <w:sz w:val="24"/>
                <w:szCs w:val="24"/>
                <w:highlight w:val="none"/>
                <w:u w:val="none"/>
                <w:lang w:val="en-US" w:eastAsia="zh-CN"/>
              </w:rPr>
              <w:t>693</w:t>
            </w:r>
          </w:p>
        </w:tc>
        <w:tc>
          <w:tcPr>
            <w:tcW w:w="446" w:type="pct"/>
            <w:shd w:val="clear" w:color="auto" w:fill="auto"/>
            <w:vAlign w:val="center"/>
          </w:tcPr>
          <w:p>
            <w:pPr>
              <w:jc w:val="center"/>
              <w:rPr>
                <w:rFonts w:hint="eastAsia" w:ascii="仿宋" w:hAnsi="仿宋" w:eastAsia="仿宋" w:cs="仿宋"/>
                <w:i w:val="0"/>
                <w:color w:val="000000"/>
                <w:sz w:val="24"/>
                <w:szCs w:val="24"/>
                <w:highlight w:val="none"/>
                <w:u w:val="none"/>
                <w:lang w:eastAsia="zh-CN"/>
              </w:rPr>
            </w:pPr>
            <w:r>
              <w:rPr>
                <w:rFonts w:hint="eastAsia" w:ascii="仿宋" w:hAnsi="仿宋" w:eastAsia="仿宋" w:cs="仿宋"/>
                <w:i w:val="0"/>
                <w:color w:val="000000"/>
                <w:sz w:val="24"/>
                <w:szCs w:val="24"/>
                <w:highlight w:val="none"/>
                <w:u w:val="none"/>
                <w:lang w:eastAsia="zh-CN"/>
              </w:rPr>
              <w:t>旅游用地、其他商服用地</w:t>
            </w:r>
          </w:p>
        </w:tc>
        <w:tc>
          <w:tcPr>
            <w:tcW w:w="563" w:type="pct"/>
            <w:shd w:val="clear" w:color="auto" w:fill="auto"/>
            <w:vAlign w:val="center"/>
          </w:tcPr>
          <w:p>
            <w:pPr>
              <w:jc w:val="center"/>
              <w:rPr>
                <w:rFonts w:hint="eastAsia" w:ascii="仿宋" w:hAnsi="仿宋" w:eastAsia="仿宋" w:cs="仿宋"/>
                <w:i w:val="0"/>
                <w:color w:val="000000"/>
                <w:sz w:val="24"/>
                <w:szCs w:val="24"/>
                <w:highlight w:val="none"/>
                <w:u w:val="none"/>
              </w:rPr>
            </w:pPr>
            <w:r>
              <w:rPr>
                <w:rFonts w:hint="eastAsia" w:ascii="仿宋" w:hAnsi="仿宋" w:eastAsia="仿宋" w:cs="仿宋"/>
                <w:spacing w:val="20"/>
                <w:sz w:val="24"/>
                <w:szCs w:val="24"/>
                <w:highlight w:val="none"/>
                <w:u w:val="none"/>
                <w:lang w:val="en-US" w:eastAsia="zh-CN"/>
              </w:rPr>
              <w:t>截止至2058年12月31日</w:t>
            </w:r>
          </w:p>
        </w:tc>
        <w:tc>
          <w:tcPr>
            <w:tcW w:w="450" w:type="pct"/>
            <w:shd w:val="clear" w:color="auto" w:fill="auto"/>
            <w:vAlign w:val="center"/>
          </w:tcPr>
          <w:p>
            <w:pPr>
              <w:jc w:val="center"/>
              <w:rPr>
                <w:rFonts w:hint="eastAsia" w:ascii="仿宋" w:hAnsi="仿宋" w:eastAsia="仿宋" w:cs="仿宋"/>
                <w:i w:val="0"/>
                <w:color w:val="000000"/>
                <w:sz w:val="24"/>
                <w:szCs w:val="24"/>
                <w:highlight w:val="none"/>
                <w:u w:val="none"/>
                <w:lang w:val="en-US" w:eastAsia="zh-CN"/>
              </w:rPr>
            </w:pPr>
            <w:r>
              <w:rPr>
                <w:rFonts w:hint="eastAsia" w:ascii="仿宋" w:hAnsi="仿宋" w:eastAsia="仿宋" w:cs="仿宋"/>
                <w:i w:val="0"/>
                <w:color w:val="000000"/>
                <w:sz w:val="24"/>
                <w:szCs w:val="24"/>
                <w:highlight w:val="none"/>
                <w:u w:val="none"/>
                <w:lang w:val="en-US" w:eastAsia="zh-CN"/>
              </w:rPr>
              <w:t>7</w:t>
            </w:r>
          </w:p>
        </w:tc>
        <w:tc>
          <w:tcPr>
            <w:tcW w:w="484" w:type="pct"/>
            <w:shd w:val="clear" w:color="auto" w:fill="auto"/>
            <w:vAlign w:val="center"/>
          </w:tcPr>
          <w:p>
            <w:pPr>
              <w:jc w:val="center"/>
              <w:rPr>
                <w:rFonts w:hint="eastAsia" w:ascii="仿宋" w:hAnsi="仿宋" w:eastAsia="仿宋" w:cs="仿宋"/>
                <w:i w:val="0"/>
                <w:color w:val="000000"/>
                <w:sz w:val="24"/>
                <w:szCs w:val="24"/>
                <w:highlight w:val="none"/>
                <w:u w:val="none"/>
                <w:lang w:val="en-US" w:eastAsia="zh-CN"/>
              </w:rPr>
            </w:pPr>
            <w:r>
              <w:rPr>
                <w:rFonts w:hint="eastAsia" w:ascii="仿宋" w:hAnsi="仿宋" w:eastAsia="仿宋" w:cs="仿宋"/>
                <w:i w:val="0"/>
                <w:color w:val="000000"/>
                <w:sz w:val="24"/>
                <w:szCs w:val="24"/>
                <w:highlight w:val="none"/>
                <w:u w:val="none"/>
                <w:lang w:val="en-US" w:eastAsia="zh-CN"/>
              </w:rPr>
              <w:t>33.6105</w:t>
            </w:r>
          </w:p>
        </w:tc>
        <w:tc>
          <w:tcPr>
            <w:tcW w:w="350" w:type="pct"/>
            <w:shd w:val="clear" w:color="auto" w:fill="auto"/>
            <w:vAlign w:val="center"/>
          </w:tcPr>
          <w:p>
            <w:pPr>
              <w:jc w:val="center"/>
              <w:rPr>
                <w:rFonts w:hint="eastAsia" w:ascii="仿宋" w:hAnsi="仿宋" w:eastAsia="仿宋" w:cs="仿宋"/>
                <w:i w:val="0"/>
                <w:color w:val="000000"/>
                <w:sz w:val="24"/>
                <w:szCs w:val="24"/>
                <w:highlight w:val="none"/>
                <w:u w:val="none"/>
                <w:lang w:val="en-US" w:eastAsia="zh-CN"/>
              </w:rPr>
            </w:pPr>
            <w:r>
              <w:rPr>
                <w:rFonts w:hint="eastAsia" w:ascii="仿宋" w:hAnsi="仿宋" w:eastAsia="仿宋" w:cs="仿宋"/>
                <w:i w:val="0"/>
                <w:color w:val="000000"/>
                <w:sz w:val="24"/>
                <w:szCs w:val="24"/>
                <w:highlight w:val="none"/>
                <w:u w:val="none"/>
                <w:lang w:val="en-US" w:eastAsia="zh-CN"/>
              </w:rPr>
              <w:t>2.0-2.8</w:t>
            </w:r>
          </w:p>
        </w:tc>
        <w:tc>
          <w:tcPr>
            <w:tcW w:w="253" w:type="pct"/>
            <w:shd w:val="clear" w:color="auto" w:fill="auto"/>
            <w:vAlign w:val="center"/>
          </w:tcPr>
          <w:p>
            <w:pPr>
              <w:jc w:val="center"/>
              <w:rPr>
                <w:rFonts w:hint="eastAsia" w:ascii="仿宋" w:hAnsi="仿宋" w:eastAsia="仿宋" w:cs="仿宋"/>
                <w:i w:val="0"/>
                <w:color w:val="000000"/>
                <w:sz w:val="24"/>
                <w:szCs w:val="24"/>
                <w:highlight w:val="none"/>
                <w:u w:val="none"/>
                <w:lang w:val="en-US" w:eastAsia="zh-CN"/>
              </w:rPr>
            </w:pPr>
            <w:r>
              <w:rPr>
                <w:rFonts w:hint="eastAsia" w:ascii="仿宋" w:hAnsi="仿宋" w:eastAsia="仿宋" w:cs="仿宋"/>
                <w:i w:val="0"/>
                <w:color w:val="000000"/>
                <w:sz w:val="24"/>
                <w:szCs w:val="24"/>
                <w:highlight w:val="none"/>
                <w:u w:val="none"/>
                <w:lang w:val="en-US" w:eastAsia="zh-CN"/>
              </w:rPr>
              <w:t>/</w:t>
            </w:r>
          </w:p>
        </w:tc>
        <w:tc>
          <w:tcPr>
            <w:tcW w:w="233" w:type="pct"/>
            <w:shd w:val="clear" w:color="auto" w:fill="auto"/>
            <w:vAlign w:val="center"/>
          </w:tcPr>
          <w:p>
            <w:pPr>
              <w:jc w:val="center"/>
              <w:rPr>
                <w:rFonts w:hint="eastAsia" w:ascii="仿宋" w:hAnsi="仿宋" w:eastAsia="仿宋" w:cs="仿宋"/>
                <w:i w:val="0"/>
                <w:color w:val="000000"/>
                <w:sz w:val="24"/>
                <w:szCs w:val="24"/>
                <w:highlight w:val="none"/>
                <w:u w:val="none"/>
                <w:lang w:val="en-US" w:eastAsia="zh-CN"/>
              </w:rPr>
            </w:pPr>
            <w:r>
              <w:rPr>
                <w:rFonts w:hint="eastAsia" w:ascii="仿宋" w:hAnsi="仿宋" w:eastAsia="仿宋" w:cs="仿宋"/>
                <w:i w:val="0"/>
                <w:color w:val="000000"/>
                <w:sz w:val="24"/>
                <w:szCs w:val="24"/>
                <w:highlight w:val="none"/>
                <w:u w:val="none"/>
                <w:lang w:val="en-US" w:eastAsia="zh-CN"/>
              </w:rPr>
              <w:t>/</w:t>
            </w:r>
          </w:p>
        </w:tc>
        <w:tc>
          <w:tcPr>
            <w:tcW w:w="364" w:type="pct"/>
            <w:shd w:val="clear" w:color="auto" w:fill="auto"/>
            <w:vAlign w:val="center"/>
          </w:tcPr>
          <w:p>
            <w:pPr>
              <w:jc w:val="center"/>
              <w:rPr>
                <w:rFonts w:hint="eastAsia" w:ascii="仿宋" w:hAnsi="仿宋" w:eastAsia="仿宋" w:cs="仿宋"/>
                <w:i w:val="0"/>
                <w:color w:val="000000"/>
                <w:sz w:val="24"/>
                <w:szCs w:val="24"/>
                <w:highlight w:val="none"/>
                <w:u w:val="none"/>
                <w:lang w:val="en-US" w:eastAsia="zh-CN"/>
              </w:rPr>
            </w:pPr>
            <w:r>
              <w:rPr>
                <w:rFonts w:hint="eastAsia" w:ascii="仿宋" w:hAnsi="仿宋" w:eastAsia="仿宋" w:cs="仿宋"/>
                <w:i w:val="0"/>
                <w:color w:val="000000"/>
                <w:sz w:val="24"/>
                <w:szCs w:val="24"/>
                <w:highlight w:val="none"/>
                <w:u w:val="none"/>
                <w:lang w:val="en-US" w:eastAsia="zh-CN"/>
              </w:rPr>
              <w:t>符合农业“标准地”要求</w:t>
            </w:r>
          </w:p>
        </w:tc>
      </w:tr>
    </w:tbl>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sz w:val="32"/>
          <w:szCs w:val="32"/>
          <w:lang w:eastAsia="zh-CN"/>
        </w:rPr>
        <w:t>二、须</w:t>
      </w:r>
      <w:r>
        <w:rPr>
          <w:rFonts w:hint="eastAsia" w:ascii="仿宋" w:hAnsi="仿宋" w:eastAsia="仿宋"/>
          <w:sz w:val="32"/>
          <w:szCs w:val="32"/>
          <w:lang w:val="en-US" w:eastAsia="zh-CN"/>
        </w:rPr>
        <w:t>符合农业“标准地”准入及使用要求，并经县农业农村局审核具备准入资格的法人、自然人和其他组织可申请参加，法律另有规定的除外。</w:t>
      </w:r>
      <w:r>
        <w:rPr>
          <w:rFonts w:hint="eastAsia" w:ascii="仿宋" w:hAnsi="仿宋" w:eastAsia="仿宋"/>
          <w:sz w:val="32"/>
          <w:szCs w:val="32"/>
          <w:lang w:eastAsia="zh-CN"/>
        </w:rPr>
        <w:t>此外，</w:t>
      </w:r>
      <w:r>
        <w:rPr>
          <w:rFonts w:hint="eastAsia" w:ascii="仿宋" w:hAnsi="仿宋" w:eastAsia="仿宋"/>
          <w:sz w:val="32"/>
          <w:szCs w:val="32"/>
        </w:rPr>
        <w:t>在安吉欠缴土地出让金的不得参与</w:t>
      </w:r>
      <w:r>
        <w:rPr>
          <w:rFonts w:hint="eastAsia" w:ascii="仿宋" w:hAnsi="仿宋" w:eastAsia="仿宋"/>
          <w:sz w:val="32"/>
          <w:szCs w:val="32"/>
          <w:lang w:eastAsia="zh-CN"/>
        </w:rPr>
        <w:t>上述所有地块的</w:t>
      </w:r>
      <w:r>
        <w:rPr>
          <w:rFonts w:hint="eastAsia" w:ascii="仿宋" w:hAnsi="仿宋" w:eastAsia="仿宋"/>
          <w:sz w:val="32"/>
          <w:szCs w:val="32"/>
        </w:rPr>
        <w:t>竞买</w:t>
      </w:r>
      <w:r>
        <w:rPr>
          <w:rFonts w:hint="eastAsia" w:ascii="仿宋" w:hAnsi="仿宋" w:eastAsia="仿宋"/>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sz w:val="32"/>
          <w:szCs w:val="32"/>
          <w:lang w:eastAsia="zh-CN"/>
        </w:rPr>
      </w:pPr>
      <w:r>
        <w:rPr>
          <w:rFonts w:hint="eastAsia" w:ascii="仿宋" w:hAnsi="仿宋" w:eastAsia="仿宋"/>
          <w:sz w:val="32"/>
          <w:szCs w:val="32"/>
          <w:lang w:eastAsia="zh-CN"/>
        </w:rPr>
        <w:t>三、 本次集体经营性建</w:t>
      </w:r>
      <w:r>
        <w:rPr>
          <w:rFonts w:hint="eastAsia" w:ascii="仿宋" w:hAnsi="仿宋" w:eastAsia="仿宋"/>
          <w:sz w:val="32"/>
          <w:szCs w:val="32"/>
          <w:lang w:val="en-US" w:eastAsia="zh-CN"/>
        </w:rPr>
        <w:t>设用地使用权挂牌出</w:t>
      </w:r>
      <w:r>
        <w:rPr>
          <w:rFonts w:hint="eastAsia" w:ascii="仿宋" w:hAnsi="仿宋" w:eastAsia="仿宋"/>
          <w:sz w:val="32"/>
          <w:szCs w:val="32"/>
          <w:lang w:eastAsia="zh-CN"/>
        </w:rPr>
        <w:t>让按照价高者得原则确定竞得人，挂牌时间截止时，有竞买人表示愿意继续竞价的，转入现场竞价，通过现场竞价确定竞得人。地块若带建筑物出让的，溢价仅为土地溢价，建筑物不溢价，按照价高者得原则确定竞得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sz w:val="32"/>
          <w:szCs w:val="32"/>
          <w:lang w:eastAsia="zh-CN"/>
        </w:rPr>
      </w:pPr>
      <w:r>
        <w:rPr>
          <w:rFonts w:hint="eastAsia" w:ascii="仿宋" w:hAnsi="仿宋" w:eastAsia="仿宋"/>
          <w:sz w:val="32"/>
          <w:szCs w:val="32"/>
          <w:lang w:eastAsia="zh-CN"/>
        </w:rPr>
        <w:t>四、报名地点：安吉县公共资源交易中心（</w:t>
      </w:r>
      <w:r>
        <w:rPr>
          <w:rFonts w:hint="eastAsia" w:ascii="仿宋" w:hAnsi="仿宋" w:eastAsia="仿宋"/>
          <w:sz w:val="32"/>
          <w:szCs w:val="32"/>
          <w:lang w:val="en-US" w:eastAsia="zh-CN"/>
        </w:rPr>
        <w:t>安吉县天荒坪南路99号安吉商会大厦A座8楼</w:t>
      </w:r>
      <w:r>
        <w:rPr>
          <w:rFonts w:hint="eastAsia" w:ascii="仿宋" w:hAnsi="仿宋" w:eastAsia="仿宋"/>
          <w:sz w:val="32"/>
          <w:szCs w:val="32"/>
          <w:lang w:eastAsia="zh-CN"/>
        </w:rPr>
        <w:t>）。凡有意申请竞买上述集体经营性建设用地使用权的，请按公告规定的报名时间，到安吉县公共资源交易中心窗口领取挂牌文件资料并办理报名登记手续（报名时须随带材料，请咨询安吉县公共资源交易中心或浏览安吉县公共资源交易网站http://www.ajztb.com/），报名登记时，需交纳竞买保证金（保证金必须于报名截止时点前到指定银行帐户）。竞得后保证金可抵充地价款，未竞得者次日起5个工作日内退还全部保证金，保证金不计利。息竞得后不按规定签订成交确认书、出让合同和缴纳出让金等税费的，保证金不予退还，保证金不计利息。</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sz w:val="32"/>
          <w:szCs w:val="32"/>
          <w:lang w:eastAsia="zh-CN"/>
        </w:rPr>
      </w:pPr>
      <w:r>
        <w:rPr>
          <w:rFonts w:hint="eastAsia" w:ascii="仿宋" w:hAnsi="仿宋" w:eastAsia="仿宋"/>
          <w:sz w:val="32"/>
          <w:szCs w:val="32"/>
          <w:lang w:eastAsia="zh-CN"/>
        </w:rPr>
        <w:t>五、本次挂牌报名时间：20</w:t>
      </w:r>
      <w:r>
        <w:rPr>
          <w:rFonts w:hint="eastAsia" w:ascii="仿宋" w:hAnsi="仿宋" w:eastAsia="仿宋"/>
          <w:sz w:val="32"/>
          <w:szCs w:val="32"/>
          <w:lang w:val="en-US" w:eastAsia="zh-CN"/>
        </w:rPr>
        <w:t>20</w:t>
      </w:r>
      <w:r>
        <w:rPr>
          <w:rFonts w:hint="eastAsia" w:ascii="仿宋" w:hAnsi="仿宋" w:eastAsia="仿宋"/>
          <w:sz w:val="32"/>
          <w:szCs w:val="32"/>
          <w:lang w:eastAsia="zh-CN"/>
        </w:rPr>
        <w:t>年</w:t>
      </w:r>
      <w:r>
        <w:rPr>
          <w:rFonts w:hint="eastAsia" w:ascii="仿宋" w:hAnsi="仿宋" w:eastAsia="仿宋"/>
          <w:sz w:val="32"/>
          <w:szCs w:val="32"/>
          <w:lang w:val="en-US" w:eastAsia="zh-CN"/>
        </w:rPr>
        <w:t>5</w:t>
      </w:r>
      <w:r>
        <w:rPr>
          <w:rFonts w:hint="eastAsia" w:ascii="仿宋" w:hAnsi="仿宋" w:eastAsia="仿宋"/>
          <w:sz w:val="32"/>
          <w:szCs w:val="32"/>
          <w:lang w:eastAsia="zh-CN"/>
        </w:rPr>
        <w:t>月</w:t>
      </w:r>
      <w:r>
        <w:rPr>
          <w:rFonts w:hint="eastAsia" w:ascii="仿宋" w:hAnsi="仿宋" w:eastAsia="仿宋"/>
          <w:sz w:val="32"/>
          <w:szCs w:val="32"/>
          <w:lang w:val="en-US" w:eastAsia="zh-CN"/>
        </w:rPr>
        <w:t>8</w:t>
      </w:r>
      <w:r>
        <w:rPr>
          <w:rFonts w:hint="eastAsia" w:ascii="仿宋" w:hAnsi="仿宋" w:eastAsia="仿宋"/>
          <w:sz w:val="32"/>
          <w:szCs w:val="32"/>
          <w:lang w:eastAsia="zh-CN"/>
        </w:rPr>
        <w:t>日9:00至2020年</w:t>
      </w:r>
      <w:r>
        <w:rPr>
          <w:rFonts w:hint="eastAsia" w:ascii="仿宋" w:hAnsi="仿宋" w:eastAsia="仿宋"/>
          <w:sz w:val="32"/>
          <w:szCs w:val="32"/>
          <w:lang w:val="en-US" w:eastAsia="zh-CN"/>
        </w:rPr>
        <w:t>6</w:t>
      </w:r>
      <w:r>
        <w:rPr>
          <w:rFonts w:hint="eastAsia" w:ascii="仿宋" w:hAnsi="仿宋" w:eastAsia="仿宋"/>
          <w:sz w:val="32"/>
          <w:szCs w:val="32"/>
          <w:lang w:eastAsia="zh-CN"/>
        </w:rPr>
        <w:t>月</w:t>
      </w:r>
      <w:r>
        <w:rPr>
          <w:rFonts w:hint="eastAsia" w:ascii="仿宋" w:hAnsi="仿宋" w:eastAsia="仿宋"/>
          <w:sz w:val="32"/>
          <w:szCs w:val="32"/>
          <w:lang w:val="en-US" w:eastAsia="zh-CN"/>
        </w:rPr>
        <w:t>5</w:t>
      </w:r>
      <w:r>
        <w:rPr>
          <w:rFonts w:hint="eastAsia" w:ascii="仿宋" w:hAnsi="仿宋" w:eastAsia="仿宋"/>
          <w:sz w:val="32"/>
          <w:szCs w:val="32"/>
          <w:lang w:eastAsia="zh-CN"/>
        </w:rPr>
        <w:t>日16:00</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ins w:id="0" w:author="Administrator" w:date="2017-06-28T14:27:00Z"/>
          <w:rFonts w:hint="eastAsia" w:ascii="仿宋" w:hAnsi="仿宋" w:eastAsia="仿宋"/>
          <w:sz w:val="32"/>
          <w:szCs w:val="32"/>
          <w:lang w:val="en-US" w:eastAsia="zh-CN"/>
        </w:rPr>
      </w:pPr>
      <w:r>
        <w:rPr>
          <w:rFonts w:hint="eastAsia" w:ascii="仿宋" w:hAnsi="仿宋" w:eastAsia="仿宋"/>
          <w:sz w:val="32"/>
          <w:szCs w:val="32"/>
          <w:lang w:val="en-US" w:eastAsia="zh-CN"/>
        </w:rPr>
        <w:t xml:space="preserve">    竞买保证金缴纳截止时间：</w:t>
      </w:r>
      <w:r>
        <w:rPr>
          <w:rFonts w:hint="eastAsia" w:ascii="仿宋" w:hAnsi="仿宋" w:eastAsia="仿宋"/>
          <w:sz w:val="32"/>
          <w:szCs w:val="32"/>
          <w:lang w:eastAsia="zh-CN"/>
        </w:rPr>
        <w:t>2020年</w:t>
      </w:r>
      <w:r>
        <w:rPr>
          <w:rFonts w:hint="eastAsia" w:ascii="仿宋" w:hAnsi="仿宋" w:eastAsia="仿宋"/>
          <w:sz w:val="32"/>
          <w:szCs w:val="32"/>
          <w:lang w:val="en-US" w:eastAsia="zh-CN"/>
        </w:rPr>
        <w:t>6</w:t>
      </w:r>
      <w:r>
        <w:rPr>
          <w:rFonts w:hint="eastAsia" w:ascii="仿宋" w:hAnsi="仿宋" w:eastAsia="仿宋"/>
          <w:sz w:val="32"/>
          <w:szCs w:val="32"/>
          <w:lang w:eastAsia="zh-CN"/>
        </w:rPr>
        <w:t>月</w:t>
      </w:r>
      <w:r>
        <w:rPr>
          <w:rFonts w:hint="eastAsia" w:ascii="仿宋" w:hAnsi="仿宋" w:eastAsia="仿宋"/>
          <w:sz w:val="32"/>
          <w:szCs w:val="32"/>
          <w:lang w:val="en-US" w:eastAsia="zh-CN"/>
        </w:rPr>
        <w:t>5</w:t>
      </w:r>
      <w:r>
        <w:rPr>
          <w:rFonts w:hint="eastAsia" w:ascii="仿宋" w:hAnsi="仿宋" w:eastAsia="仿宋"/>
          <w:sz w:val="32"/>
          <w:szCs w:val="32"/>
          <w:lang w:eastAsia="zh-CN"/>
        </w:rPr>
        <w:t>日16:00</w:t>
      </w:r>
    </w:p>
    <w:p>
      <w:pPr>
        <w:keepNext w:val="0"/>
        <w:keepLines w:val="0"/>
        <w:pageBreakBefore w:val="0"/>
        <w:widowControl w:val="0"/>
        <w:kinsoku/>
        <w:wordWrap/>
        <w:overflowPunct/>
        <w:topLinePunct w:val="0"/>
        <w:autoSpaceDE/>
        <w:autoSpaceDN/>
        <w:bidi w:val="0"/>
        <w:adjustRightInd/>
        <w:snapToGrid/>
        <w:spacing w:line="560" w:lineRule="exact"/>
        <w:ind w:firstLine="1280" w:firstLineChars="400"/>
        <w:textAlignment w:val="auto"/>
        <w:rPr>
          <w:rFonts w:hint="eastAsia" w:ascii="仿宋" w:hAnsi="仿宋" w:eastAsia="仿宋"/>
          <w:sz w:val="32"/>
          <w:szCs w:val="32"/>
          <w:lang w:eastAsia="zh-CN"/>
        </w:rPr>
      </w:pPr>
      <w:r>
        <w:rPr>
          <w:rFonts w:hint="eastAsia" w:ascii="仿宋" w:hAnsi="仿宋" w:eastAsia="仿宋"/>
          <w:sz w:val="32"/>
          <w:szCs w:val="32"/>
          <w:lang w:eastAsia="zh-CN"/>
        </w:rPr>
        <w:t>挂牌（报价）起止时间：</w:t>
      </w:r>
      <w:r>
        <w:rPr>
          <w:rFonts w:hint="eastAsia" w:ascii="仿宋" w:hAnsi="仿宋" w:eastAsia="仿宋"/>
          <w:sz w:val="32"/>
          <w:szCs w:val="32"/>
          <w:lang w:val="en-US" w:eastAsia="zh-CN"/>
        </w:rPr>
        <w:t>JT2020-1</w:t>
      </w:r>
      <w:r>
        <w:rPr>
          <w:rFonts w:hint="eastAsia" w:ascii="仿宋" w:hAnsi="仿宋" w:eastAsia="仿宋"/>
          <w:sz w:val="32"/>
          <w:szCs w:val="32"/>
          <w:lang w:eastAsia="zh-CN"/>
        </w:rPr>
        <w:t>:2020年</w:t>
      </w:r>
      <w:r>
        <w:rPr>
          <w:rFonts w:hint="eastAsia" w:ascii="仿宋" w:hAnsi="仿宋" w:eastAsia="仿宋"/>
          <w:sz w:val="32"/>
          <w:szCs w:val="32"/>
          <w:lang w:val="en-US" w:eastAsia="zh-CN"/>
        </w:rPr>
        <w:t>5</w:t>
      </w:r>
      <w:r>
        <w:rPr>
          <w:rFonts w:hint="eastAsia" w:ascii="仿宋" w:hAnsi="仿宋" w:eastAsia="仿宋"/>
          <w:sz w:val="32"/>
          <w:szCs w:val="32"/>
          <w:lang w:eastAsia="zh-CN"/>
        </w:rPr>
        <w:t>月</w:t>
      </w:r>
      <w:r>
        <w:rPr>
          <w:rFonts w:hint="eastAsia" w:ascii="仿宋" w:hAnsi="仿宋" w:eastAsia="仿宋"/>
          <w:sz w:val="32"/>
          <w:szCs w:val="32"/>
          <w:lang w:val="en-US" w:eastAsia="zh-CN"/>
        </w:rPr>
        <w:t>18</w:t>
      </w:r>
      <w:r>
        <w:rPr>
          <w:rFonts w:hint="eastAsia" w:ascii="仿宋" w:hAnsi="仿宋" w:eastAsia="仿宋"/>
          <w:sz w:val="32"/>
          <w:szCs w:val="32"/>
          <w:lang w:eastAsia="zh-CN"/>
        </w:rPr>
        <w:t>日上午9:00至2020年</w:t>
      </w:r>
      <w:r>
        <w:rPr>
          <w:rFonts w:hint="eastAsia" w:ascii="仿宋" w:hAnsi="仿宋" w:eastAsia="仿宋"/>
          <w:sz w:val="32"/>
          <w:szCs w:val="32"/>
          <w:lang w:val="en-US" w:eastAsia="zh-CN"/>
        </w:rPr>
        <w:t>6</w:t>
      </w:r>
      <w:r>
        <w:rPr>
          <w:rFonts w:hint="eastAsia" w:ascii="仿宋" w:hAnsi="仿宋" w:eastAsia="仿宋"/>
          <w:sz w:val="32"/>
          <w:szCs w:val="32"/>
          <w:lang w:eastAsia="zh-CN"/>
        </w:rPr>
        <w:t>月</w:t>
      </w:r>
      <w:r>
        <w:rPr>
          <w:rFonts w:hint="eastAsia" w:ascii="仿宋" w:hAnsi="仿宋" w:eastAsia="仿宋"/>
          <w:sz w:val="32"/>
          <w:szCs w:val="32"/>
          <w:lang w:val="en-US" w:eastAsia="zh-CN"/>
        </w:rPr>
        <w:t>8</w:t>
      </w:r>
      <w:r>
        <w:rPr>
          <w:rFonts w:hint="eastAsia" w:ascii="仿宋" w:hAnsi="仿宋" w:eastAsia="仿宋"/>
          <w:sz w:val="32"/>
          <w:szCs w:val="32"/>
          <w:lang w:eastAsia="zh-CN"/>
        </w:rPr>
        <w:t>日上午9:00</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sz w:val="32"/>
          <w:szCs w:val="32"/>
          <w:lang w:eastAsia="zh-CN"/>
        </w:rPr>
      </w:pPr>
      <w:r>
        <w:rPr>
          <w:rFonts w:hint="eastAsia" w:ascii="仿宋" w:hAnsi="仿宋" w:eastAsia="仿宋"/>
          <w:sz w:val="32"/>
          <w:szCs w:val="32"/>
          <w:lang w:eastAsia="zh-CN"/>
        </w:rPr>
        <w:t>六、</w:t>
      </w:r>
      <w:r>
        <w:rPr>
          <w:rFonts w:hint="eastAsia" w:ascii="仿宋" w:hAnsi="仿宋" w:eastAsia="仿宋"/>
          <w:sz w:val="32"/>
          <w:szCs w:val="32"/>
          <w:lang w:val="en-US" w:eastAsia="zh-CN"/>
        </w:rPr>
        <w:t>竞得后，竞买人与出让人及相关鉴证单位在交易中心签订成交确认书及相关协议。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sz w:val="32"/>
          <w:szCs w:val="32"/>
          <w:lang w:eastAsia="zh-CN"/>
        </w:rPr>
      </w:pPr>
      <w:r>
        <w:rPr>
          <w:rFonts w:hint="eastAsia" w:ascii="仿宋" w:hAnsi="仿宋" w:eastAsia="仿宋"/>
          <w:sz w:val="32"/>
          <w:szCs w:val="32"/>
          <w:lang w:eastAsia="zh-CN"/>
        </w:rPr>
        <w:t>七、本次挂牌出让的详细资料请参阅《挂牌出让文件》。《挂牌出让文件》及地块相关资料。</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sz w:val="32"/>
          <w:szCs w:val="32"/>
          <w:lang w:eastAsia="zh-CN"/>
        </w:rPr>
      </w:pPr>
      <w:r>
        <w:rPr>
          <w:rFonts w:hint="eastAsia" w:ascii="仿宋" w:hAnsi="仿宋" w:eastAsia="仿宋"/>
          <w:sz w:val="32"/>
          <w:szCs w:val="32"/>
          <w:lang w:eastAsia="zh-CN"/>
        </w:rPr>
        <w:t>八、本次公开出让地块成交价即为该幅地块的总价款，不包括人防费和土地契税等其他相关税费</w:t>
      </w:r>
      <w:r>
        <w:rPr>
          <w:rFonts w:hint="eastAsia" w:ascii="仿宋" w:hAnsi="仿宋" w:eastAsia="仿宋"/>
          <w:sz w:val="32"/>
          <w:szCs w:val="32"/>
          <w:lang w:val="en-US" w:eastAsia="zh-CN"/>
        </w:rPr>
        <w:t>。此外，若地块带建筑物出让，在办理不动产权证过程中涉及其他相关税费的，由竞得人自行承担</w:t>
      </w:r>
      <w:r>
        <w:rPr>
          <w:rFonts w:hint="eastAsia" w:ascii="仿宋" w:hAnsi="仿宋" w:eastAsia="仿宋"/>
          <w:sz w:val="32"/>
          <w:szCs w:val="32"/>
          <w:lang w:eastAsia="zh-CN"/>
        </w:rPr>
        <w:t>。该地块具体情况和实地踏看请与入市主体安吉县递铺街道鲁家村股份经济合作社衔接。申请人竞得土地后，需按照该地块的相关要求到有关部门办理具体事宜，地块的其他详细情况见地块挂牌出让须知。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sz w:val="32"/>
          <w:szCs w:val="32"/>
          <w:lang w:eastAsia="zh-CN"/>
        </w:rPr>
      </w:pPr>
      <w:r>
        <w:rPr>
          <w:rFonts w:hint="eastAsia" w:ascii="仿宋" w:hAnsi="仿宋" w:eastAsia="仿宋"/>
          <w:sz w:val="32"/>
          <w:szCs w:val="32"/>
          <w:lang w:eastAsia="zh-CN"/>
        </w:rPr>
        <w:t>九、竞买保证金缴纳账号</w:t>
      </w:r>
    </w:p>
    <w:p>
      <w:pPr>
        <w:keepNext w:val="0"/>
        <w:keepLines w:val="0"/>
        <w:pageBreakBefore w:val="0"/>
        <w:widowControl w:val="0"/>
        <w:kinsoku/>
        <w:wordWrap/>
        <w:overflowPunct/>
        <w:topLinePunct w:val="0"/>
        <w:autoSpaceDE/>
        <w:autoSpaceDN/>
        <w:bidi w:val="0"/>
        <w:adjustRightInd/>
        <w:snapToGrid/>
        <w:spacing w:line="560" w:lineRule="exact"/>
        <w:ind w:firstLine="1280" w:firstLineChars="400"/>
        <w:textAlignment w:val="auto"/>
        <w:rPr>
          <w:rFonts w:hint="eastAsia" w:ascii="仿宋" w:hAnsi="仿宋" w:eastAsia="仿宋"/>
          <w:sz w:val="32"/>
          <w:szCs w:val="32"/>
          <w:lang w:eastAsia="zh-CN"/>
        </w:rPr>
      </w:pPr>
      <w:r>
        <w:rPr>
          <w:rFonts w:hint="eastAsia" w:ascii="仿宋" w:hAnsi="仿宋" w:eastAsia="仿宋"/>
          <w:sz w:val="32"/>
          <w:szCs w:val="32"/>
          <w:lang w:eastAsia="zh-CN"/>
        </w:rPr>
        <w:t>保证金账户名称：安吉县自然资源和规划局集体土地出让金专户</w:t>
      </w:r>
    </w:p>
    <w:p>
      <w:pPr>
        <w:keepNext w:val="0"/>
        <w:keepLines w:val="0"/>
        <w:pageBreakBefore w:val="0"/>
        <w:widowControl w:val="0"/>
        <w:kinsoku/>
        <w:wordWrap/>
        <w:overflowPunct/>
        <w:topLinePunct w:val="0"/>
        <w:autoSpaceDE/>
        <w:autoSpaceDN/>
        <w:bidi w:val="0"/>
        <w:adjustRightInd/>
        <w:snapToGrid/>
        <w:spacing w:line="560" w:lineRule="exact"/>
        <w:ind w:firstLine="1280" w:firstLineChars="400"/>
        <w:textAlignment w:val="auto"/>
        <w:rPr>
          <w:rFonts w:hint="eastAsia" w:ascii="仿宋" w:hAnsi="仿宋" w:eastAsia="仿宋"/>
          <w:sz w:val="32"/>
          <w:szCs w:val="32"/>
          <w:lang w:val="en-US" w:eastAsia="zh-CN"/>
        </w:rPr>
      </w:pPr>
      <w:r>
        <w:rPr>
          <w:rFonts w:hint="eastAsia" w:ascii="仿宋" w:hAnsi="仿宋" w:eastAsia="仿宋"/>
          <w:sz w:val="32"/>
          <w:szCs w:val="32"/>
          <w:lang w:eastAsia="zh-CN"/>
        </w:rPr>
        <w:t>账号：</w:t>
      </w:r>
      <w:r>
        <w:rPr>
          <w:rFonts w:hint="eastAsia" w:ascii="仿宋" w:hAnsi="仿宋" w:eastAsia="仿宋"/>
          <w:sz w:val="32"/>
          <w:szCs w:val="32"/>
          <w:lang w:val="en-US" w:eastAsia="zh-CN"/>
        </w:rPr>
        <w:t>231000003491721</w:t>
      </w:r>
    </w:p>
    <w:p>
      <w:pPr>
        <w:keepNext w:val="0"/>
        <w:keepLines w:val="0"/>
        <w:pageBreakBefore w:val="0"/>
        <w:widowControl w:val="0"/>
        <w:kinsoku/>
        <w:wordWrap/>
        <w:overflowPunct/>
        <w:topLinePunct w:val="0"/>
        <w:autoSpaceDE/>
        <w:autoSpaceDN/>
        <w:bidi w:val="0"/>
        <w:adjustRightInd/>
        <w:snapToGrid/>
        <w:spacing w:line="560" w:lineRule="exact"/>
        <w:ind w:firstLine="1280" w:firstLineChars="400"/>
        <w:textAlignment w:val="auto"/>
        <w:rPr>
          <w:rFonts w:hint="eastAsia" w:ascii="仿宋" w:hAnsi="仿宋" w:eastAsia="仿宋"/>
          <w:sz w:val="32"/>
          <w:szCs w:val="32"/>
          <w:lang w:eastAsia="zh-CN"/>
        </w:rPr>
      </w:pPr>
      <w:r>
        <w:rPr>
          <w:rFonts w:hint="eastAsia" w:ascii="仿宋" w:hAnsi="仿宋" w:eastAsia="仿宋"/>
          <w:sz w:val="32"/>
          <w:szCs w:val="32"/>
          <w:lang w:eastAsia="zh-CN"/>
        </w:rPr>
        <w:t>开户行：浙江安吉农村商业银行股份有限公司</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sz w:val="32"/>
          <w:szCs w:val="32"/>
          <w:lang w:eastAsia="zh-CN"/>
        </w:rPr>
      </w:pPr>
      <w:r>
        <w:rPr>
          <w:rFonts w:hint="eastAsia" w:ascii="仿宋" w:hAnsi="仿宋" w:eastAsia="仿宋"/>
          <w:sz w:val="32"/>
          <w:szCs w:val="32"/>
          <w:lang w:eastAsia="zh-CN"/>
        </w:rPr>
        <w:t xml:space="preserve">十、联系方式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 xml:space="preserve">    安吉县自然资源和规划局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 xml:space="preserve">    地址：安吉县昌硕街道昌硕东路132号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 xml:space="preserve">    电话：0572-5021600</w:t>
      </w:r>
    </w:p>
    <w:p>
      <w:pPr>
        <w:keepNext w:val="0"/>
        <w:keepLines w:val="0"/>
        <w:pageBreakBefore w:val="0"/>
        <w:widowControl w:val="0"/>
        <w:kinsoku/>
        <w:wordWrap/>
        <w:overflowPunct/>
        <w:topLinePunct w:val="0"/>
        <w:autoSpaceDE/>
        <w:autoSpaceDN/>
        <w:bidi w:val="0"/>
        <w:adjustRightInd/>
        <w:snapToGrid/>
        <w:spacing w:line="560" w:lineRule="exact"/>
        <w:ind w:firstLine="1280" w:firstLineChars="400"/>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安吉县公共资源交易中心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 xml:space="preserve">    地址：安吉县天荒坪南路99号安吉商会大厦A座8楼​ </w:t>
      </w:r>
    </w:p>
    <w:p>
      <w:pPr>
        <w:keepNext w:val="0"/>
        <w:keepLines w:val="0"/>
        <w:pageBreakBefore w:val="0"/>
        <w:widowControl w:val="0"/>
        <w:kinsoku/>
        <w:wordWrap/>
        <w:overflowPunct/>
        <w:topLinePunct w:val="0"/>
        <w:autoSpaceDE/>
        <w:autoSpaceDN/>
        <w:bidi w:val="0"/>
        <w:adjustRightInd/>
        <w:snapToGrid/>
        <w:spacing w:line="560" w:lineRule="exact"/>
        <w:ind w:firstLine="1280" w:firstLineChars="400"/>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电话：0572-5129118</w:t>
      </w:r>
    </w:p>
    <w:p>
      <w:pPr>
        <w:keepNext w:val="0"/>
        <w:keepLines w:val="0"/>
        <w:pageBreakBefore w:val="0"/>
        <w:widowControl w:val="0"/>
        <w:kinsoku/>
        <w:wordWrap/>
        <w:overflowPunct/>
        <w:topLinePunct w:val="0"/>
        <w:autoSpaceDE/>
        <w:autoSpaceDN/>
        <w:bidi w:val="0"/>
        <w:adjustRightInd/>
        <w:snapToGrid/>
        <w:spacing w:line="560" w:lineRule="exact"/>
        <w:ind w:firstLine="1280" w:firstLineChars="400"/>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安吉县农业农村局</w:t>
      </w:r>
    </w:p>
    <w:p>
      <w:pPr>
        <w:keepNext w:val="0"/>
        <w:keepLines w:val="0"/>
        <w:pageBreakBefore w:val="0"/>
        <w:widowControl w:val="0"/>
        <w:kinsoku/>
        <w:wordWrap/>
        <w:overflowPunct/>
        <w:topLinePunct w:val="0"/>
        <w:autoSpaceDE/>
        <w:autoSpaceDN/>
        <w:bidi w:val="0"/>
        <w:adjustRightInd/>
        <w:snapToGrid/>
        <w:spacing w:line="560" w:lineRule="exact"/>
        <w:ind w:firstLine="1280" w:firstLineChars="400"/>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地址：昌硕街道天目路601号</w:t>
      </w:r>
    </w:p>
    <w:p>
      <w:pPr>
        <w:keepNext w:val="0"/>
        <w:keepLines w:val="0"/>
        <w:pageBreakBefore w:val="0"/>
        <w:widowControl w:val="0"/>
        <w:kinsoku/>
        <w:wordWrap/>
        <w:overflowPunct/>
        <w:topLinePunct w:val="0"/>
        <w:autoSpaceDE/>
        <w:autoSpaceDN/>
        <w:bidi w:val="0"/>
        <w:adjustRightInd/>
        <w:snapToGrid/>
        <w:spacing w:line="560" w:lineRule="exact"/>
        <w:ind w:firstLine="1280" w:firstLineChars="400"/>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电话：0572-5223103</w:t>
      </w:r>
    </w:p>
    <w:p>
      <w:pPr>
        <w:keepNext w:val="0"/>
        <w:keepLines w:val="0"/>
        <w:pageBreakBefore w:val="0"/>
        <w:widowControl w:val="0"/>
        <w:kinsoku/>
        <w:wordWrap/>
        <w:overflowPunct/>
        <w:topLinePunct w:val="0"/>
        <w:autoSpaceDE/>
        <w:autoSpaceDN/>
        <w:bidi w:val="0"/>
        <w:adjustRightInd/>
        <w:snapToGrid/>
        <w:spacing w:line="560" w:lineRule="exact"/>
        <w:ind w:firstLine="1280" w:firstLineChars="400"/>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安吉县递铺街道鲁家村村股份经济合作社</w:t>
      </w:r>
    </w:p>
    <w:p>
      <w:pPr>
        <w:keepNext w:val="0"/>
        <w:keepLines w:val="0"/>
        <w:pageBreakBefore w:val="0"/>
        <w:widowControl w:val="0"/>
        <w:kinsoku/>
        <w:wordWrap/>
        <w:overflowPunct/>
        <w:topLinePunct w:val="0"/>
        <w:autoSpaceDE/>
        <w:autoSpaceDN/>
        <w:bidi w:val="0"/>
        <w:adjustRightInd/>
        <w:snapToGrid/>
        <w:spacing w:line="560" w:lineRule="exact"/>
        <w:ind w:firstLine="1280" w:firstLineChars="400"/>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地址： 安吉县递铺街道鲁家村村民委员会</w:t>
      </w:r>
    </w:p>
    <w:p>
      <w:pPr>
        <w:keepNext w:val="0"/>
        <w:keepLines w:val="0"/>
        <w:pageBreakBefore w:val="0"/>
        <w:widowControl w:val="0"/>
        <w:kinsoku/>
        <w:wordWrap/>
        <w:overflowPunct/>
        <w:topLinePunct w:val="0"/>
        <w:autoSpaceDE/>
        <w:autoSpaceDN/>
        <w:bidi w:val="0"/>
        <w:adjustRightInd/>
        <w:snapToGrid/>
        <w:spacing w:line="560" w:lineRule="exact"/>
        <w:ind w:firstLine="1280" w:firstLineChars="400"/>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电话： 0572-5205081</w:t>
      </w:r>
    </w:p>
    <w:p>
      <w:pPr>
        <w:spacing w:line="560" w:lineRule="exact"/>
        <w:ind w:firstLine="640" w:firstLineChars="200"/>
        <w:jc w:val="right"/>
        <w:rPr>
          <w:rFonts w:hint="eastAsia" w:ascii="仿宋" w:hAnsi="仿宋" w:eastAsia="仿宋"/>
          <w:sz w:val="32"/>
          <w:szCs w:val="32"/>
          <w:highlight w:val="none"/>
          <w:lang w:val="en-US" w:eastAsia="zh-CN"/>
        </w:rPr>
      </w:pPr>
    </w:p>
    <w:p>
      <w:pPr>
        <w:spacing w:line="560" w:lineRule="exact"/>
        <w:ind w:firstLine="640" w:firstLineChars="200"/>
        <w:jc w:val="right"/>
        <w:rPr>
          <w:rFonts w:hint="eastAsia" w:ascii="仿宋" w:hAnsi="仿宋" w:eastAsia="仿宋"/>
          <w:sz w:val="32"/>
          <w:szCs w:val="32"/>
          <w:highlight w:val="none"/>
          <w:lang w:val="en-US" w:eastAsia="zh-CN"/>
        </w:rPr>
      </w:pPr>
    </w:p>
    <w:p>
      <w:pPr>
        <w:spacing w:line="560" w:lineRule="exact"/>
        <w:ind w:firstLine="640" w:firstLineChars="200"/>
        <w:jc w:val="right"/>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安吉县自然资源和规划局</w:t>
      </w:r>
    </w:p>
    <w:p>
      <w:pPr>
        <w:spacing w:line="560" w:lineRule="exact"/>
        <w:ind w:firstLine="640" w:firstLineChars="200"/>
        <w:jc w:val="right"/>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安吉县公共资源交易中心</w:t>
      </w:r>
    </w:p>
    <w:p>
      <w:pPr>
        <w:spacing w:line="560" w:lineRule="exact"/>
        <w:ind w:firstLine="640" w:firstLineChars="200"/>
        <w:jc w:val="right"/>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安吉县递铺街道鲁家村村股份经济合作社</w:t>
      </w:r>
    </w:p>
    <w:p>
      <w:pPr>
        <w:spacing w:line="560" w:lineRule="exact"/>
        <w:ind w:firstLine="640" w:firstLineChars="200"/>
        <w:jc w:val="right"/>
      </w:pPr>
      <w:r>
        <w:rPr>
          <w:rFonts w:hint="eastAsia" w:ascii="仿宋" w:hAnsi="仿宋" w:eastAsia="仿宋"/>
          <w:sz w:val="32"/>
          <w:szCs w:val="32"/>
          <w:highlight w:val="none"/>
          <w:lang w:val="en-US" w:eastAsia="zh-CN"/>
        </w:rPr>
        <w:t>2020年5月8日</w:t>
      </w:r>
      <w:r>
        <w:rPr>
          <w:rFonts w:hint="eastAsia"/>
          <w:lang w:val="en-US" w:eastAsia="zh-CN"/>
        </w:rPr>
        <w:t xml:space="preserve">  </w:t>
      </w:r>
      <w:r>
        <w:rPr>
          <w:rFonts w:hint="eastAsia"/>
        </w:rPr>
        <w:t xml:space="preserve">  </w:t>
      </w:r>
      <w:bookmarkEnd w:id="0"/>
      <w:bookmarkEnd w:id="1"/>
      <w:bookmarkEnd w:id="8"/>
    </w:p>
    <w:sectPr>
      <w:pgSz w:w="16783" w:h="11850"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6E38"/>
    <w:rsid w:val="0002172A"/>
    <w:rsid w:val="00027CB9"/>
    <w:rsid w:val="00040228"/>
    <w:rsid w:val="00055426"/>
    <w:rsid w:val="000618FE"/>
    <w:rsid w:val="00072A09"/>
    <w:rsid w:val="00077194"/>
    <w:rsid w:val="0009148A"/>
    <w:rsid w:val="00091F9E"/>
    <w:rsid w:val="0009487F"/>
    <w:rsid w:val="000958EA"/>
    <w:rsid w:val="00096CC7"/>
    <w:rsid w:val="000A0183"/>
    <w:rsid w:val="001011EE"/>
    <w:rsid w:val="00125CBF"/>
    <w:rsid w:val="001264ED"/>
    <w:rsid w:val="00161814"/>
    <w:rsid w:val="001638B2"/>
    <w:rsid w:val="00163BF3"/>
    <w:rsid w:val="00174C46"/>
    <w:rsid w:val="00180A3E"/>
    <w:rsid w:val="00194F43"/>
    <w:rsid w:val="0019593F"/>
    <w:rsid w:val="0019683A"/>
    <w:rsid w:val="001A14AC"/>
    <w:rsid w:val="001A42D8"/>
    <w:rsid w:val="001C3BCF"/>
    <w:rsid w:val="001C51A6"/>
    <w:rsid w:val="00202046"/>
    <w:rsid w:val="002062C2"/>
    <w:rsid w:val="002074E1"/>
    <w:rsid w:val="00212101"/>
    <w:rsid w:val="002433E8"/>
    <w:rsid w:val="00284363"/>
    <w:rsid w:val="002B5E55"/>
    <w:rsid w:val="002C4E49"/>
    <w:rsid w:val="00311775"/>
    <w:rsid w:val="00326189"/>
    <w:rsid w:val="00340C3E"/>
    <w:rsid w:val="0034798A"/>
    <w:rsid w:val="0035793C"/>
    <w:rsid w:val="00395B8E"/>
    <w:rsid w:val="003C54CB"/>
    <w:rsid w:val="004177CB"/>
    <w:rsid w:val="00421C26"/>
    <w:rsid w:val="00436F7B"/>
    <w:rsid w:val="00444E92"/>
    <w:rsid w:val="00446F87"/>
    <w:rsid w:val="00447067"/>
    <w:rsid w:val="0048169B"/>
    <w:rsid w:val="00483DF0"/>
    <w:rsid w:val="00495330"/>
    <w:rsid w:val="004B2083"/>
    <w:rsid w:val="004E3DDF"/>
    <w:rsid w:val="00542A96"/>
    <w:rsid w:val="00551F85"/>
    <w:rsid w:val="005907E6"/>
    <w:rsid w:val="005C5BD6"/>
    <w:rsid w:val="0060203F"/>
    <w:rsid w:val="006266E2"/>
    <w:rsid w:val="00655B09"/>
    <w:rsid w:val="00671101"/>
    <w:rsid w:val="006A2A1C"/>
    <w:rsid w:val="006A6DC9"/>
    <w:rsid w:val="006C03B1"/>
    <w:rsid w:val="006C4E28"/>
    <w:rsid w:val="006E6737"/>
    <w:rsid w:val="00704BE7"/>
    <w:rsid w:val="00721D10"/>
    <w:rsid w:val="00761B83"/>
    <w:rsid w:val="0079745E"/>
    <w:rsid w:val="007C7CAA"/>
    <w:rsid w:val="00815BE2"/>
    <w:rsid w:val="0084249E"/>
    <w:rsid w:val="00843CCC"/>
    <w:rsid w:val="00875198"/>
    <w:rsid w:val="008757C8"/>
    <w:rsid w:val="008A6905"/>
    <w:rsid w:val="008A6E13"/>
    <w:rsid w:val="008F29C9"/>
    <w:rsid w:val="00927928"/>
    <w:rsid w:val="0093792B"/>
    <w:rsid w:val="0095347A"/>
    <w:rsid w:val="00971A7B"/>
    <w:rsid w:val="00976E1C"/>
    <w:rsid w:val="009A70D1"/>
    <w:rsid w:val="009B04DF"/>
    <w:rsid w:val="009D6D27"/>
    <w:rsid w:val="009F696F"/>
    <w:rsid w:val="00A10B1A"/>
    <w:rsid w:val="00A55390"/>
    <w:rsid w:val="00A7409F"/>
    <w:rsid w:val="00AB14F2"/>
    <w:rsid w:val="00B02F51"/>
    <w:rsid w:val="00B12C3F"/>
    <w:rsid w:val="00B17544"/>
    <w:rsid w:val="00B17951"/>
    <w:rsid w:val="00B327D3"/>
    <w:rsid w:val="00B55856"/>
    <w:rsid w:val="00B60DAE"/>
    <w:rsid w:val="00B615BA"/>
    <w:rsid w:val="00B71D40"/>
    <w:rsid w:val="00B96E38"/>
    <w:rsid w:val="00BF0625"/>
    <w:rsid w:val="00C0155B"/>
    <w:rsid w:val="00C164F0"/>
    <w:rsid w:val="00C22161"/>
    <w:rsid w:val="00C26F90"/>
    <w:rsid w:val="00C32842"/>
    <w:rsid w:val="00C46594"/>
    <w:rsid w:val="00C61C45"/>
    <w:rsid w:val="00C65E9A"/>
    <w:rsid w:val="00CB571C"/>
    <w:rsid w:val="00CC66CA"/>
    <w:rsid w:val="00D42E9A"/>
    <w:rsid w:val="00D61F8D"/>
    <w:rsid w:val="00D86267"/>
    <w:rsid w:val="00DB05A2"/>
    <w:rsid w:val="00DB0B69"/>
    <w:rsid w:val="00DB0FEB"/>
    <w:rsid w:val="00DF0B5E"/>
    <w:rsid w:val="00E07763"/>
    <w:rsid w:val="00E102D2"/>
    <w:rsid w:val="00E11E76"/>
    <w:rsid w:val="00E23642"/>
    <w:rsid w:val="00E31566"/>
    <w:rsid w:val="00E4187F"/>
    <w:rsid w:val="00E627B2"/>
    <w:rsid w:val="00E658BF"/>
    <w:rsid w:val="00E66251"/>
    <w:rsid w:val="00E6640E"/>
    <w:rsid w:val="00ED5990"/>
    <w:rsid w:val="00EF4132"/>
    <w:rsid w:val="00F038AD"/>
    <w:rsid w:val="00F04113"/>
    <w:rsid w:val="00F36A05"/>
    <w:rsid w:val="00F46579"/>
    <w:rsid w:val="00F57A01"/>
    <w:rsid w:val="00F93709"/>
    <w:rsid w:val="00FE123D"/>
    <w:rsid w:val="01EA3933"/>
    <w:rsid w:val="022D24C4"/>
    <w:rsid w:val="028666BD"/>
    <w:rsid w:val="03F57CD2"/>
    <w:rsid w:val="043616B4"/>
    <w:rsid w:val="046E3672"/>
    <w:rsid w:val="047C2A2D"/>
    <w:rsid w:val="04DB7F5E"/>
    <w:rsid w:val="057D1EE6"/>
    <w:rsid w:val="05C91D95"/>
    <w:rsid w:val="05E46221"/>
    <w:rsid w:val="069566D4"/>
    <w:rsid w:val="06CE7C96"/>
    <w:rsid w:val="07EF50B9"/>
    <w:rsid w:val="07F71734"/>
    <w:rsid w:val="08541D92"/>
    <w:rsid w:val="08977DE3"/>
    <w:rsid w:val="08A02FA8"/>
    <w:rsid w:val="08AE253C"/>
    <w:rsid w:val="08EE30ED"/>
    <w:rsid w:val="0A040846"/>
    <w:rsid w:val="0AA25AEA"/>
    <w:rsid w:val="0DD40F23"/>
    <w:rsid w:val="0E374855"/>
    <w:rsid w:val="10E668CA"/>
    <w:rsid w:val="12DE6E3D"/>
    <w:rsid w:val="148E050F"/>
    <w:rsid w:val="14AE1057"/>
    <w:rsid w:val="15E00A89"/>
    <w:rsid w:val="160616DB"/>
    <w:rsid w:val="1646524F"/>
    <w:rsid w:val="16486A25"/>
    <w:rsid w:val="16EB7014"/>
    <w:rsid w:val="185F7139"/>
    <w:rsid w:val="18772C59"/>
    <w:rsid w:val="1A266DC8"/>
    <w:rsid w:val="1A996AA1"/>
    <w:rsid w:val="1B1E012C"/>
    <w:rsid w:val="1C624BAC"/>
    <w:rsid w:val="1CB830E4"/>
    <w:rsid w:val="1DE13EEA"/>
    <w:rsid w:val="1E806EAA"/>
    <w:rsid w:val="1EE00F26"/>
    <w:rsid w:val="1F057C00"/>
    <w:rsid w:val="200C3463"/>
    <w:rsid w:val="21162DBB"/>
    <w:rsid w:val="21F32ADD"/>
    <w:rsid w:val="22CB5442"/>
    <w:rsid w:val="22DB174F"/>
    <w:rsid w:val="23136F1E"/>
    <w:rsid w:val="24A7066D"/>
    <w:rsid w:val="24BE02A1"/>
    <w:rsid w:val="24F64E7D"/>
    <w:rsid w:val="25E441FF"/>
    <w:rsid w:val="26812B6F"/>
    <w:rsid w:val="279C558C"/>
    <w:rsid w:val="27AD485A"/>
    <w:rsid w:val="27DC49C4"/>
    <w:rsid w:val="280556F0"/>
    <w:rsid w:val="28D8031B"/>
    <w:rsid w:val="28FE6E5C"/>
    <w:rsid w:val="29306455"/>
    <w:rsid w:val="29802A28"/>
    <w:rsid w:val="2A443552"/>
    <w:rsid w:val="2A706C62"/>
    <w:rsid w:val="2A8458CE"/>
    <w:rsid w:val="2B8D7505"/>
    <w:rsid w:val="2CD56CF3"/>
    <w:rsid w:val="2D69265E"/>
    <w:rsid w:val="2F586A27"/>
    <w:rsid w:val="30DE6690"/>
    <w:rsid w:val="31A424A8"/>
    <w:rsid w:val="3216006F"/>
    <w:rsid w:val="32343AFE"/>
    <w:rsid w:val="338F2636"/>
    <w:rsid w:val="33952CB7"/>
    <w:rsid w:val="342C5AC8"/>
    <w:rsid w:val="345767B0"/>
    <w:rsid w:val="346E14EC"/>
    <w:rsid w:val="35317959"/>
    <w:rsid w:val="36E57ED2"/>
    <w:rsid w:val="381F1011"/>
    <w:rsid w:val="381F32C2"/>
    <w:rsid w:val="38B03B2B"/>
    <w:rsid w:val="395229E1"/>
    <w:rsid w:val="39BA2C91"/>
    <w:rsid w:val="3A0B6966"/>
    <w:rsid w:val="3A606713"/>
    <w:rsid w:val="3AB8419B"/>
    <w:rsid w:val="3AEA55E2"/>
    <w:rsid w:val="3CD67CEC"/>
    <w:rsid w:val="3D9228C3"/>
    <w:rsid w:val="3DFE6B8A"/>
    <w:rsid w:val="3F716498"/>
    <w:rsid w:val="3FAB303E"/>
    <w:rsid w:val="40482E6B"/>
    <w:rsid w:val="40D21D6B"/>
    <w:rsid w:val="41D23138"/>
    <w:rsid w:val="421242F4"/>
    <w:rsid w:val="44201F05"/>
    <w:rsid w:val="44BE1B1C"/>
    <w:rsid w:val="44D5751F"/>
    <w:rsid w:val="45A3671C"/>
    <w:rsid w:val="47F94C60"/>
    <w:rsid w:val="48202FFD"/>
    <w:rsid w:val="48982F30"/>
    <w:rsid w:val="48A36EA2"/>
    <w:rsid w:val="48EE51CC"/>
    <w:rsid w:val="49CD20DE"/>
    <w:rsid w:val="4A890AB5"/>
    <w:rsid w:val="4BFF39F8"/>
    <w:rsid w:val="4C0677F3"/>
    <w:rsid w:val="4C1F0235"/>
    <w:rsid w:val="4C3F2B16"/>
    <w:rsid w:val="4C602763"/>
    <w:rsid w:val="4CC83FE1"/>
    <w:rsid w:val="4D2726E5"/>
    <w:rsid w:val="4D8A0FC9"/>
    <w:rsid w:val="4E0133A8"/>
    <w:rsid w:val="4E2B5AF8"/>
    <w:rsid w:val="4E7B4A5D"/>
    <w:rsid w:val="4EFE3118"/>
    <w:rsid w:val="4F364EF4"/>
    <w:rsid w:val="4F424ACA"/>
    <w:rsid w:val="4F836AA0"/>
    <w:rsid w:val="4FAB32AF"/>
    <w:rsid w:val="4FD23D9E"/>
    <w:rsid w:val="513932B6"/>
    <w:rsid w:val="51CB6353"/>
    <w:rsid w:val="520E6CD5"/>
    <w:rsid w:val="55053D16"/>
    <w:rsid w:val="555B1D04"/>
    <w:rsid w:val="555C3A52"/>
    <w:rsid w:val="55C47171"/>
    <w:rsid w:val="55EC3C2D"/>
    <w:rsid w:val="55F434E5"/>
    <w:rsid w:val="564654CB"/>
    <w:rsid w:val="568C18A2"/>
    <w:rsid w:val="56E06897"/>
    <w:rsid w:val="570A51D9"/>
    <w:rsid w:val="57245B23"/>
    <w:rsid w:val="575A2E4B"/>
    <w:rsid w:val="581721DE"/>
    <w:rsid w:val="58660696"/>
    <w:rsid w:val="587515C3"/>
    <w:rsid w:val="58D10E68"/>
    <w:rsid w:val="596576BB"/>
    <w:rsid w:val="5BD64D63"/>
    <w:rsid w:val="5CA16FCF"/>
    <w:rsid w:val="5E29313B"/>
    <w:rsid w:val="5E6C29F2"/>
    <w:rsid w:val="5F423CE0"/>
    <w:rsid w:val="5FCB3E99"/>
    <w:rsid w:val="60AE32F8"/>
    <w:rsid w:val="611E5077"/>
    <w:rsid w:val="614F552A"/>
    <w:rsid w:val="62644449"/>
    <w:rsid w:val="62A43CBE"/>
    <w:rsid w:val="62AC5D6F"/>
    <w:rsid w:val="62D23458"/>
    <w:rsid w:val="63E33C84"/>
    <w:rsid w:val="646471DF"/>
    <w:rsid w:val="65CB47D9"/>
    <w:rsid w:val="66767DC5"/>
    <w:rsid w:val="66995CB1"/>
    <w:rsid w:val="684A0AED"/>
    <w:rsid w:val="68A96D9A"/>
    <w:rsid w:val="68DC2FB2"/>
    <w:rsid w:val="698830A0"/>
    <w:rsid w:val="69D36DA6"/>
    <w:rsid w:val="6A015ECE"/>
    <w:rsid w:val="6C4F363F"/>
    <w:rsid w:val="6DD549DE"/>
    <w:rsid w:val="6DF32BF8"/>
    <w:rsid w:val="6E8E7DB4"/>
    <w:rsid w:val="6ED260D1"/>
    <w:rsid w:val="6F8A41C6"/>
    <w:rsid w:val="6FC0139F"/>
    <w:rsid w:val="700C723A"/>
    <w:rsid w:val="701D1D4B"/>
    <w:rsid w:val="71B108F5"/>
    <w:rsid w:val="71C5671B"/>
    <w:rsid w:val="71F252E9"/>
    <w:rsid w:val="737A3912"/>
    <w:rsid w:val="752C6298"/>
    <w:rsid w:val="771C2C5F"/>
    <w:rsid w:val="77593AFA"/>
    <w:rsid w:val="77AC3198"/>
    <w:rsid w:val="787F7534"/>
    <w:rsid w:val="7B1A3207"/>
    <w:rsid w:val="7B4C7218"/>
    <w:rsid w:val="7BA82AC1"/>
    <w:rsid w:val="7C3E0BAF"/>
    <w:rsid w:val="7D6A6E85"/>
    <w:rsid w:val="7D975AE4"/>
    <w:rsid w:val="7DC102BD"/>
    <w:rsid w:val="7EBA1FDC"/>
    <w:rsid w:val="7F210726"/>
    <w:rsid w:val="7F4554C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character" w:default="1" w:styleId="8">
    <w:name w:val="Default Paragraph Font"/>
    <w:unhideWhenUsed/>
    <w:qFormat/>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3">
    <w:name w:val="Body Text"/>
    <w:basedOn w:val="1"/>
    <w:unhideWhenUsed/>
    <w:qFormat/>
    <w:uiPriority w:val="99"/>
    <w:pPr>
      <w:spacing w:after="120"/>
    </w:p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75" w:after="75"/>
      <w:jc w:val="left"/>
    </w:pPr>
    <w:rPr>
      <w:rFonts w:ascii="宋体" w:hAnsi="宋体" w:eastAsia="宋体" w:cs="宋体"/>
      <w:kern w:val="0"/>
      <w:sz w:val="24"/>
      <w:szCs w:val="24"/>
    </w:rPr>
  </w:style>
  <w:style w:type="character" w:styleId="9">
    <w:name w:val="Strong"/>
    <w:basedOn w:val="8"/>
    <w:qFormat/>
    <w:uiPriority w:val="22"/>
    <w:rPr>
      <w:b/>
      <w:bCs/>
    </w:rPr>
  </w:style>
  <w:style w:type="character" w:customStyle="1" w:styleId="10">
    <w:name w:val="页眉 Char"/>
    <w:basedOn w:val="8"/>
    <w:link w:val="5"/>
    <w:semiHidden/>
    <w:qFormat/>
    <w:uiPriority w:val="99"/>
    <w:rPr>
      <w:sz w:val="18"/>
      <w:szCs w:val="18"/>
    </w:rPr>
  </w:style>
  <w:style w:type="character" w:customStyle="1" w:styleId="11">
    <w:name w:val="页脚 Char"/>
    <w:basedOn w:val="8"/>
    <w:link w:val="4"/>
    <w:semiHidden/>
    <w:qFormat/>
    <w:uiPriority w:val="99"/>
    <w:rPr>
      <w:sz w:val="18"/>
      <w:szCs w:val="18"/>
    </w:rPr>
  </w:style>
</w:styles>
</file>

<file path=word/_rels/document.xml.rels><?xml version="1.0" encoding="UTF-8" standalone="yes"?>
<Relationships xmlns="http://schemas.openxmlformats.org/package/2006/relationships"><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286</Words>
  <Characters>1636</Characters>
  <Lines>13</Lines>
  <Paragraphs>3</Paragraphs>
  <TotalTime>1</TotalTime>
  <ScaleCrop>false</ScaleCrop>
  <LinksUpToDate>false</LinksUpToDate>
  <CharactersWithSpaces>1919</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2017-11-28T00:50:00Z</dcterms:created>
  <dc:creator>PC</dc:creator>
  <cp:lastModifiedBy>lenovo</cp:lastModifiedBy>
  <cp:lastPrinted>2020-04-15T06:33:00Z</cp:lastPrinted>
  <dcterms:modified xsi:type="dcterms:W3CDTF">2020-05-07T08:20:32Z</dcterms:modified>
  <cp:revision>135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